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6AE80" w14:textId="57E40DE4" w:rsidR="006E7683" w:rsidRPr="00427794" w:rsidRDefault="00866754" w:rsidP="006E7683">
      <w:pPr>
        <w:pStyle w:val="Bezmezer"/>
        <w:jc w:val="center"/>
        <w:rPr>
          <w:rStyle w:val="fontstyle01"/>
          <w:sz w:val="36"/>
          <w:szCs w:val="36"/>
        </w:rPr>
      </w:pPr>
      <w:r w:rsidRPr="00427794">
        <w:rPr>
          <w:rStyle w:val="fontstyle01"/>
          <w:sz w:val="36"/>
          <w:szCs w:val="36"/>
        </w:rPr>
        <w:t>Důvodová zpráva</w:t>
      </w:r>
      <w:r w:rsidR="0092470B" w:rsidRPr="00427794">
        <w:rPr>
          <w:rStyle w:val="fontstyle01"/>
          <w:sz w:val="36"/>
          <w:szCs w:val="36"/>
        </w:rPr>
        <w:t xml:space="preserve"> </w:t>
      </w:r>
      <w:r w:rsidRPr="00427794">
        <w:rPr>
          <w:rStyle w:val="fontstyle01"/>
          <w:sz w:val="36"/>
          <w:szCs w:val="36"/>
        </w:rPr>
        <w:t xml:space="preserve">k rozpočtu </w:t>
      </w:r>
      <w:r w:rsidR="00441009" w:rsidRPr="00427794">
        <w:rPr>
          <w:rStyle w:val="fontstyle01"/>
          <w:sz w:val="36"/>
          <w:szCs w:val="36"/>
        </w:rPr>
        <w:t>obce Lenešice</w:t>
      </w:r>
      <w:r w:rsidRPr="00427794">
        <w:rPr>
          <w:rStyle w:val="fontstyle01"/>
          <w:sz w:val="36"/>
          <w:szCs w:val="36"/>
        </w:rPr>
        <w:t xml:space="preserve"> pro rok 202</w:t>
      </w:r>
      <w:r w:rsidR="003A29C3">
        <w:rPr>
          <w:rStyle w:val="fontstyle01"/>
          <w:sz w:val="36"/>
          <w:szCs w:val="36"/>
        </w:rPr>
        <w:t>6</w:t>
      </w:r>
    </w:p>
    <w:p w14:paraId="0B660738" w14:textId="77777777" w:rsidR="006E7683" w:rsidRDefault="006E7683" w:rsidP="003528FF">
      <w:pPr>
        <w:pStyle w:val="Bezmezer"/>
        <w:rPr>
          <w:rStyle w:val="fontstyle01"/>
        </w:rPr>
      </w:pPr>
    </w:p>
    <w:p w14:paraId="0A262234" w14:textId="05D542B5" w:rsidR="0092470B" w:rsidRDefault="00A710E8" w:rsidP="00A710E8">
      <w:pPr>
        <w:pStyle w:val="Bezmezer"/>
        <w:ind w:firstLine="708"/>
        <w:rPr>
          <w:rStyle w:val="fontstyle01"/>
        </w:rPr>
      </w:pPr>
      <w:r>
        <w:rPr>
          <w:rStyle w:val="fontstyle01"/>
        </w:rPr>
        <w:t>I.</w:t>
      </w:r>
      <w:r w:rsidR="00866754">
        <w:rPr>
          <w:rStyle w:val="fontstyle01"/>
        </w:rPr>
        <w:t>Úvod</w:t>
      </w:r>
    </w:p>
    <w:p w14:paraId="1B7292A6" w14:textId="77777777" w:rsidR="006E7683" w:rsidRDefault="006E7683" w:rsidP="006E7683">
      <w:pPr>
        <w:pStyle w:val="Bezmezer"/>
        <w:ind w:left="1080"/>
        <w:rPr>
          <w:rStyle w:val="fontstyle21"/>
        </w:rPr>
      </w:pPr>
    </w:p>
    <w:p w14:paraId="4596C65D" w14:textId="264564C3" w:rsidR="00F03872" w:rsidRDefault="00866754" w:rsidP="0092470B">
      <w:pPr>
        <w:pStyle w:val="Bezmezer"/>
        <w:jc w:val="both"/>
        <w:rPr>
          <w:rStyle w:val="fontstyle21"/>
        </w:rPr>
      </w:pPr>
      <w:r>
        <w:rPr>
          <w:rStyle w:val="fontstyle21"/>
        </w:rPr>
        <w:t xml:space="preserve">Zastupitelstvu </w:t>
      </w:r>
      <w:r w:rsidR="00086424">
        <w:rPr>
          <w:rStyle w:val="fontstyle21"/>
        </w:rPr>
        <w:t>obce</w:t>
      </w:r>
      <w:r>
        <w:rPr>
          <w:rStyle w:val="fontstyle21"/>
        </w:rPr>
        <w:t xml:space="preserve"> předkládáme, dle povinnosti stanoveného zákonem</w:t>
      </w:r>
      <w:r w:rsidR="00F03872">
        <w:rPr>
          <w:rStyle w:val="fontstyle21"/>
        </w:rPr>
        <w:t xml:space="preserve"> </w:t>
      </w:r>
      <w:r>
        <w:rPr>
          <w:rStyle w:val="fontstyle21"/>
        </w:rPr>
        <w:t>č. 250/2000 Sb. o rozpočtových pravidlech územních rozpočtů, v platném znění, návrh</w:t>
      </w:r>
      <w:r w:rsidR="00F03872">
        <w:rPr>
          <w:rStyle w:val="fontstyle21"/>
        </w:rPr>
        <w:t xml:space="preserve"> </w:t>
      </w:r>
      <w:r>
        <w:rPr>
          <w:rStyle w:val="fontstyle21"/>
        </w:rPr>
        <w:t>rozpočtu obce na nadcházející rok. Samotný návrh ve své povaze a účelu obsahuje souhrnné</w:t>
      </w:r>
      <w:r w:rsidR="0092470B">
        <w:rPr>
          <w:rStyle w:val="fontstyle21"/>
        </w:rPr>
        <w:t xml:space="preserve"> </w:t>
      </w:r>
      <w:r>
        <w:rPr>
          <w:rStyle w:val="fontstyle21"/>
        </w:rPr>
        <w:t>číselné údaje, které jsou podrobněji rozpracovány a komentovány.</w:t>
      </w:r>
      <w:r w:rsidR="00F03872">
        <w:rPr>
          <w:rStyle w:val="fontstyle21"/>
        </w:rPr>
        <w:t xml:space="preserve"> </w:t>
      </w:r>
      <w:r>
        <w:rPr>
          <w:rStyle w:val="fontstyle21"/>
        </w:rPr>
        <w:t xml:space="preserve">Návrh rozpočtu </w:t>
      </w:r>
      <w:r w:rsidR="00441009">
        <w:rPr>
          <w:rStyle w:val="fontstyle21"/>
        </w:rPr>
        <w:t>obce Lenešice</w:t>
      </w:r>
      <w:r>
        <w:rPr>
          <w:rStyle w:val="fontstyle21"/>
        </w:rPr>
        <w:t xml:space="preserve"> na rok 202</w:t>
      </w:r>
      <w:r w:rsidR="00CE3F4A">
        <w:rPr>
          <w:rStyle w:val="fontstyle21"/>
        </w:rPr>
        <w:t>6</w:t>
      </w:r>
      <w:r>
        <w:rPr>
          <w:rStyle w:val="fontstyle21"/>
        </w:rPr>
        <w:t xml:space="preserve"> je výsledkem realizace exaktních postupů,</w:t>
      </w:r>
      <w:r w:rsidR="00F03872">
        <w:rPr>
          <w:rStyle w:val="fontstyle21"/>
        </w:rPr>
        <w:t xml:space="preserve"> </w:t>
      </w:r>
      <w:r>
        <w:rPr>
          <w:rStyle w:val="fontstyle21"/>
        </w:rPr>
        <w:t>odborných odhadů a rozpočtových zásad, vyplývajících ze znalosti prostředí při rozpracování</w:t>
      </w:r>
      <w:r w:rsidR="00F03872">
        <w:rPr>
          <w:rStyle w:val="fontstyle21"/>
        </w:rPr>
        <w:t xml:space="preserve"> </w:t>
      </w:r>
      <w:r>
        <w:rPr>
          <w:rStyle w:val="fontstyle21"/>
        </w:rPr>
        <w:t>základní celkové bilance příjmů a výdajů (globálního rámce).</w:t>
      </w:r>
    </w:p>
    <w:p w14:paraId="1B8483F4" w14:textId="77777777" w:rsidR="00F03872" w:rsidRDefault="00F03872" w:rsidP="003528FF">
      <w:pPr>
        <w:pStyle w:val="Bezmezer"/>
        <w:rPr>
          <w:rStyle w:val="fontstyle21"/>
        </w:rPr>
      </w:pPr>
    </w:p>
    <w:p w14:paraId="014427FC" w14:textId="77777777" w:rsidR="0092470B" w:rsidRDefault="00866754" w:rsidP="003528FF">
      <w:pPr>
        <w:pStyle w:val="Bezmezer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Základní podklady pro zpracování tohoto návrhu rozpočtu byly:</w:t>
      </w:r>
    </w:p>
    <w:p w14:paraId="57B478A3" w14:textId="02F0C9A0" w:rsidR="00866754" w:rsidRDefault="00866754" w:rsidP="003528FF">
      <w:pPr>
        <w:pStyle w:val="Bezmezer"/>
        <w:rPr>
          <w:rStyle w:val="fontstyle21"/>
        </w:rPr>
      </w:pPr>
      <w:r>
        <w:rPr>
          <w:rFonts w:ascii="Calibri-Bold" w:hAnsi="Calibri-Bold"/>
          <w:b/>
          <w:bCs/>
        </w:rPr>
        <w:br/>
      </w:r>
      <w:r>
        <w:rPr>
          <w:rStyle w:val="fontstyle21"/>
        </w:rPr>
        <w:t>- údaje o předpokládaném stavu čerpání rozpočtu obce Lenešice v roce 202</w:t>
      </w:r>
      <w:r w:rsidR="00F9144C">
        <w:rPr>
          <w:rStyle w:val="fontstyle21"/>
        </w:rPr>
        <w:t>5</w:t>
      </w:r>
      <w:r>
        <w:br/>
      </w:r>
      <w:r>
        <w:rPr>
          <w:rStyle w:val="fontstyle21"/>
        </w:rPr>
        <w:t>- očekávané výnosy daní v souvislosti s vývojem celostátní ekonomiky v roce 202</w:t>
      </w:r>
      <w:r w:rsidR="00F9144C">
        <w:rPr>
          <w:rStyle w:val="fontstyle21"/>
        </w:rPr>
        <w:t>5</w:t>
      </w:r>
      <w:r>
        <w:br/>
      </w:r>
      <w:r>
        <w:rPr>
          <w:rStyle w:val="fontstyle21"/>
        </w:rPr>
        <w:t>s dopadem do dalších let</w:t>
      </w:r>
      <w:r>
        <w:br/>
      </w:r>
      <w:r>
        <w:rPr>
          <w:rStyle w:val="fontstyle21"/>
        </w:rPr>
        <w:t>- předpokládaný vývoj makroekonomických ukazatelů</w:t>
      </w:r>
      <w:r>
        <w:br/>
      </w:r>
      <w:r>
        <w:rPr>
          <w:rStyle w:val="fontstyle21"/>
        </w:rPr>
        <w:t xml:space="preserve">- návrhy nákladových a výnosových položek jednotlivých příspěvkových organizací </w:t>
      </w:r>
    </w:p>
    <w:p w14:paraId="2EDC5969" w14:textId="77777777" w:rsidR="00F9144C" w:rsidRDefault="00866754">
      <w:pPr>
        <w:rPr>
          <w:rStyle w:val="fontstyle21"/>
        </w:rPr>
      </w:pPr>
      <w:r>
        <w:rPr>
          <w:rStyle w:val="fontstyle21"/>
        </w:rPr>
        <w:t>- uzavřené smluvní závazky a dohody</w:t>
      </w:r>
    </w:p>
    <w:p w14:paraId="75329D1F" w14:textId="3343107D" w:rsidR="00F9144C" w:rsidRDefault="00F9144C">
      <w:pPr>
        <w:rPr>
          <w:rStyle w:val="fontstyle21"/>
        </w:rPr>
      </w:pPr>
      <w:r>
        <w:rPr>
          <w:rStyle w:val="fontstyle21"/>
        </w:rPr>
        <w:t>- kalkulačka financování nepedagogických pracovníků</w:t>
      </w:r>
      <w:r w:rsidR="00866754">
        <w:rPr>
          <w:rFonts w:ascii="Calibri" w:hAnsi="Calibri" w:cs="Calibri"/>
          <w:color w:val="000000"/>
        </w:rPr>
        <w:br/>
      </w:r>
      <w:r w:rsidR="00866754">
        <w:rPr>
          <w:rStyle w:val="fontstyle21"/>
        </w:rPr>
        <w:t>- odborné kvalifikované propočty a odhady</w:t>
      </w:r>
    </w:p>
    <w:p w14:paraId="47E3789F" w14:textId="77777777" w:rsidR="003E2F86" w:rsidRDefault="00866754" w:rsidP="00A710E8">
      <w:pPr>
        <w:ind w:left="708"/>
        <w:rPr>
          <w:rStyle w:val="fontstyle01"/>
          <w:sz w:val="24"/>
          <w:szCs w:val="24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01"/>
        </w:rPr>
        <w:t xml:space="preserve">II. Návrh rozpočtu </w:t>
      </w:r>
      <w:r w:rsidR="003528FF">
        <w:rPr>
          <w:rStyle w:val="fontstyle01"/>
        </w:rPr>
        <w:t>obce Lenešice</w:t>
      </w:r>
      <w:r>
        <w:rPr>
          <w:rFonts w:ascii="Calibri-Bold" w:hAnsi="Calibri-Bold"/>
          <w:b/>
          <w:bCs/>
          <w:color w:val="000000"/>
          <w:sz w:val="28"/>
          <w:szCs w:val="28"/>
        </w:rPr>
        <w:br/>
      </w:r>
    </w:p>
    <w:p w14:paraId="638E2403" w14:textId="393BD83D" w:rsidR="0092470B" w:rsidRDefault="00866754" w:rsidP="00A710E8">
      <w:pPr>
        <w:ind w:left="708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Bilance rozpočtu </w:t>
      </w:r>
      <w:r w:rsidR="003528FF">
        <w:rPr>
          <w:rStyle w:val="fontstyle01"/>
          <w:sz w:val="24"/>
          <w:szCs w:val="24"/>
        </w:rPr>
        <w:t>obce Lenešice</w:t>
      </w:r>
    </w:p>
    <w:p w14:paraId="687484A2" w14:textId="06BDC093" w:rsidR="00B85629" w:rsidRDefault="00866754" w:rsidP="0092470B">
      <w:pPr>
        <w:jc w:val="both"/>
        <w:rPr>
          <w:rStyle w:val="fontstyle2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21"/>
        </w:rPr>
        <w:t xml:space="preserve">Návrh bilance rozpočtu </w:t>
      </w:r>
      <w:r w:rsidR="00441009">
        <w:rPr>
          <w:rStyle w:val="fontstyle21"/>
        </w:rPr>
        <w:t>obce Lenešice</w:t>
      </w:r>
      <w:r>
        <w:rPr>
          <w:rStyle w:val="fontstyle21"/>
        </w:rPr>
        <w:t xml:space="preserve"> na rok 202</w:t>
      </w:r>
      <w:r w:rsidR="00FB5451">
        <w:rPr>
          <w:rStyle w:val="fontstyle21"/>
        </w:rPr>
        <w:t>6</w:t>
      </w:r>
      <w:r>
        <w:rPr>
          <w:rStyle w:val="fontstyle21"/>
        </w:rPr>
        <w:t xml:space="preserve"> je dle §4, odst. 4) zákona č. 250/2000 Sb.</w:t>
      </w:r>
      <w:r w:rsidR="00F03872">
        <w:rPr>
          <w:rStyle w:val="fontstyle21"/>
        </w:rPr>
        <w:t xml:space="preserve"> </w:t>
      </w:r>
      <w:r>
        <w:rPr>
          <w:rStyle w:val="fontstyle21"/>
        </w:rPr>
        <w:t>o rozpočtových pravidlech územních rozpočt</w:t>
      </w:r>
      <w:r w:rsidR="001C734E">
        <w:rPr>
          <w:rStyle w:val="fontstyle21"/>
        </w:rPr>
        <w:t>ů</w:t>
      </w:r>
      <w:r w:rsidR="006A56DA">
        <w:rPr>
          <w:rStyle w:val="fontstyle01"/>
          <w:sz w:val="24"/>
          <w:szCs w:val="24"/>
        </w:rPr>
        <w:t xml:space="preserve"> </w:t>
      </w:r>
      <w:r w:rsidR="003A29C3">
        <w:rPr>
          <w:rStyle w:val="fontstyle01"/>
          <w:sz w:val="24"/>
          <w:szCs w:val="24"/>
        </w:rPr>
        <w:t>46 4</w:t>
      </w:r>
      <w:r w:rsidR="00B02E6F">
        <w:rPr>
          <w:rStyle w:val="fontstyle01"/>
          <w:sz w:val="24"/>
          <w:szCs w:val="24"/>
        </w:rPr>
        <w:t>0</w:t>
      </w:r>
      <w:r w:rsidR="00FB5451">
        <w:rPr>
          <w:rStyle w:val="fontstyle01"/>
          <w:sz w:val="24"/>
          <w:szCs w:val="24"/>
        </w:rPr>
        <w:t>0</w:t>
      </w:r>
      <w:r>
        <w:rPr>
          <w:rStyle w:val="fontstyle01"/>
          <w:sz w:val="24"/>
          <w:szCs w:val="24"/>
        </w:rPr>
        <w:t xml:space="preserve"> tis. Kč </w:t>
      </w:r>
      <w:r>
        <w:rPr>
          <w:rStyle w:val="fontstyle21"/>
        </w:rPr>
        <w:t>a to zejména</w:t>
      </w:r>
      <w:r w:rsidR="00F03872">
        <w:rPr>
          <w:rStyle w:val="fontstyle21"/>
        </w:rPr>
        <w:t xml:space="preserve"> </w:t>
      </w:r>
      <w:r>
        <w:rPr>
          <w:rStyle w:val="fontstyle21"/>
        </w:rPr>
        <w:t>z důvodu zásadních investic do</w:t>
      </w:r>
      <w:r w:rsidR="00B85629">
        <w:rPr>
          <w:rStyle w:val="fontstyle21"/>
        </w:rPr>
        <w:t>:</w:t>
      </w:r>
    </w:p>
    <w:p w14:paraId="7585129A" w14:textId="0B40DAA1" w:rsidR="00B66524" w:rsidRPr="00B66524" w:rsidRDefault="00FB5451" w:rsidP="00B85629">
      <w:pPr>
        <w:pStyle w:val="Odstavecseseznamem"/>
        <w:numPr>
          <w:ilvl w:val="0"/>
          <w:numId w:val="1"/>
        </w:numPr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  <w:r>
        <w:rPr>
          <w:rStyle w:val="fontstyle21"/>
        </w:rPr>
        <w:t>R</w:t>
      </w:r>
      <w:r w:rsidR="00866754">
        <w:rPr>
          <w:rStyle w:val="fontstyle21"/>
        </w:rPr>
        <w:t xml:space="preserve">ekonstrukce </w:t>
      </w:r>
      <w:r w:rsidR="000013E4">
        <w:rPr>
          <w:rStyle w:val="fontstyle21"/>
        </w:rPr>
        <w:t>chodníků ulice Jirásko</w:t>
      </w:r>
      <w:r w:rsidR="00B66524">
        <w:rPr>
          <w:rStyle w:val="fontstyle21"/>
        </w:rPr>
        <w:t>va</w:t>
      </w:r>
      <w:r w:rsidR="00B85629">
        <w:rPr>
          <w:rStyle w:val="fontstyle21"/>
        </w:rPr>
        <w:t>,</w:t>
      </w:r>
    </w:p>
    <w:p w14:paraId="79AC03E2" w14:textId="3F4CA29E" w:rsidR="00B85629" w:rsidRPr="00FB5451" w:rsidRDefault="001C734E" w:rsidP="00B85629">
      <w:pPr>
        <w:pStyle w:val="Odstavecseseznamem"/>
        <w:numPr>
          <w:ilvl w:val="0"/>
          <w:numId w:val="1"/>
        </w:numPr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  <w:r>
        <w:rPr>
          <w:rStyle w:val="fontstyle21"/>
        </w:rPr>
        <w:t xml:space="preserve">Rekonstrukce ulic </w:t>
      </w:r>
      <w:r w:rsidR="00FB5451">
        <w:rPr>
          <w:rStyle w:val="fontstyle21"/>
        </w:rPr>
        <w:t>Dlouhá, Husova</w:t>
      </w:r>
    </w:p>
    <w:p w14:paraId="0A7A6F33" w14:textId="78B3E8DF" w:rsidR="00FB5451" w:rsidRPr="00B85629" w:rsidRDefault="00FB5451" w:rsidP="00B85629">
      <w:pPr>
        <w:pStyle w:val="Odstavecseseznamem"/>
        <w:numPr>
          <w:ilvl w:val="0"/>
          <w:numId w:val="1"/>
        </w:numPr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  <w:r>
        <w:rPr>
          <w:rStyle w:val="fontstyle21"/>
        </w:rPr>
        <w:t>Nákup budovy lékaře</w:t>
      </w:r>
    </w:p>
    <w:p w14:paraId="21D191F0" w14:textId="4300DA6F" w:rsidR="00F03872" w:rsidRDefault="00654FE6" w:rsidP="0092470B">
      <w:pPr>
        <w:jc w:val="both"/>
        <w:rPr>
          <w:rStyle w:val="fontstyle21"/>
        </w:rPr>
      </w:pPr>
      <w:r>
        <w:rPr>
          <w:rStyle w:val="fontstyle21"/>
        </w:rPr>
        <w:t>Sc</w:t>
      </w:r>
      <w:r w:rsidR="00866754">
        <w:rPr>
          <w:rStyle w:val="fontstyle21"/>
        </w:rPr>
        <w:t>hodek rozpočtu je kryt třídou 8 financování, která je v příjmové části tvořena</w:t>
      </w:r>
      <w:r w:rsidR="00F03872">
        <w:rPr>
          <w:rStyle w:val="fontstyle21"/>
        </w:rPr>
        <w:t xml:space="preserve"> </w:t>
      </w:r>
      <w:r w:rsidR="00866754">
        <w:rPr>
          <w:rStyle w:val="fontstyle21"/>
        </w:rPr>
        <w:t xml:space="preserve">přebytkem hospodaření </w:t>
      </w:r>
      <w:r w:rsidR="001C734E">
        <w:rPr>
          <w:rStyle w:val="fontstyle21"/>
        </w:rPr>
        <w:t>z minulých let v předpokládané</w:t>
      </w:r>
      <w:r w:rsidR="00866754">
        <w:rPr>
          <w:rStyle w:val="fontstyle21"/>
        </w:rPr>
        <w:t xml:space="preserve"> ve výši </w:t>
      </w:r>
      <w:r w:rsidR="001C734E">
        <w:rPr>
          <w:rStyle w:val="fontstyle21"/>
        </w:rPr>
        <w:t xml:space="preserve"> </w:t>
      </w:r>
      <w:r w:rsidR="003A29C3">
        <w:rPr>
          <w:rStyle w:val="fontstyle21"/>
        </w:rPr>
        <w:t>50</w:t>
      </w:r>
      <w:r w:rsidR="001C734E">
        <w:rPr>
          <w:rStyle w:val="fontstyle21"/>
        </w:rPr>
        <w:t xml:space="preserve"> mil. Kč. </w:t>
      </w:r>
      <w:r w:rsidR="00866754">
        <w:rPr>
          <w:rStyle w:val="fontstyle21"/>
        </w:rPr>
        <w:t xml:space="preserve">Návrh bilance rozpočtu </w:t>
      </w:r>
      <w:r w:rsidR="00A86106">
        <w:rPr>
          <w:rStyle w:val="fontstyle21"/>
        </w:rPr>
        <w:t>o</w:t>
      </w:r>
      <w:r w:rsidR="003528FF">
        <w:rPr>
          <w:rStyle w:val="fontstyle21"/>
        </w:rPr>
        <w:t>bce Lenešice</w:t>
      </w:r>
      <w:r w:rsidR="00866754">
        <w:rPr>
          <w:rStyle w:val="fontstyle21"/>
        </w:rPr>
        <w:t xml:space="preserve"> na rok 202</w:t>
      </w:r>
      <w:r w:rsidR="003A29C3">
        <w:rPr>
          <w:rStyle w:val="fontstyle21"/>
        </w:rPr>
        <w:t>6</w:t>
      </w:r>
      <w:r w:rsidR="00866754">
        <w:rPr>
          <w:rStyle w:val="fontstyle21"/>
        </w:rPr>
        <w:t xml:space="preserve"> je zpracován jako roční rozpočet v</w:t>
      </w:r>
      <w:r w:rsidR="00F03872">
        <w:rPr>
          <w:rStyle w:val="fontstyle21"/>
        </w:rPr>
        <w:t> </w:t>
      </w:r>
      <w:r w:rsidR="00866754">
        <w:rPr>
          <w:rStyle w:val="fontstyle21"/>
        </w:rPr>
        <w:t>souladu</w:t>
      </w:r>
      <w:r w:rsidR="00F03872">
        <w:rPr>
          <w:rStyle w:val="fontstyle21"/>
        </w:rPr>
        <w:t xml:space="preserve"> </w:t>
      </w:r>
      <w:r w:rsidR="00866754">
        <w:rPr>
          <w:rStyle w:val="fontstyle21"/>
        </w:rPr>
        <w:t>se zákonem č. 250/2000 Sb., o rozpočtových pravidlech územních rozpočtů, v platném znění</w:t>
      </w:r>
      <w:r w:rsidR="00F03872">
        <w:rPr>
          <w:rStyle w:val="fontstyle21"/>
        </w:rPr>
        <w:t xml:space="preserve"> </w:t>
      </w:r>
      <w:r w:rsidR="00866754">
        <w:rPr>
          <w:rStyle w:val="fontstyle21"/>
        </w:rPr>
        <w:t>a v třídění podle rozpočtové skladby, stanovené pro územní samosprávné celky vyhláškou</w:t>
      </w:r>
      <w:r w:rsidR="00F03872">
        <w:rPr>
          <w:rStyle w:val="fontstyle21"/>
        </w:rPr>
        <w:t xml:space="preserve"> </w:t>
      </w:r>
      <w:r w:rsidR="00866754">
        <w:rPr>
          <w:rStyle w:val="fontstyle21"/>
        </w:rPr>
        <w:t>Ministerstva financí č. 323/2002 Sb. o rozpočtové skladbě, ve znění pozdějších předpisů.</w:t>
      </w:r>
    </w:p>
    <w:p w14:paraId="0A50AA34" w14:textId="77777777" w:rsidR="00596D45" w:rsidRDefault="00596D45" w:rsidP="0092470B">
      <w:pPr>
        <w:jc w:val="both"/>
        <w:rPr>
          <w:rStyle w:val="fontstyle21"/>
        </w:rPr>
      </w:pPr>
    </w:p>
    <w:p w14:paraId="4C5FBF4A" w14:textId="77777777" w:rsidR="00FB5451" w:rsidRDefault="00FB5451" w:rsidP="0092470B">
      <w:pPr>
        <w:jc w:val="both"/>
        <w:rPr>
          <w:rStyle w:val="fontstyle21"/>
        </w:rPr>
      </w:pPr>
    </w:p>
    <w:p w14:paraId="2D84B9F1" w14:textId="77777777" w:rsidR="00F03872" w:rsidRDefault="00F03872" w:rsidP="00F03872">
      <w:pPr>
        <w:rPr>
          <w:rStyle w:val="fontstyle21"/>
        </w:rPr>
      </w:pPr>
    </w:p>
    <w:p w14:paraId="640BD786" w14:textId="6E58FEF9" w:rsidR="0092470B" w:rsidRDefault="00866754" w:rsidP="007C19A4">
      <w:pPr>
        <w:rPr>
          <w:rStyle w:val="fontstyle01"/>
          <w:sz w:val="24"/>
          <w:szCs w:val="24"/>
        </w:rPr>
      </w:pPr>
      <w:r w:rsidRPr="00654FE6">
        <w:rPr>
          <w:rStyle w:val="fontstyle01"/>
          <w:sz w:val="24"/>
          <w:szCs w:val="24"/>
        </w:rPr>
        <w:t>Příjmy rozpočtu</w:t>
      </w:r>
    </w:p>
    <w:p w14:paraId="49A6C065" w14:textId="7CF8CA5F" w:rsidR="00D71D13" w:rsidRDefault="00866754" w:rsidP="007C19A4">
      <w:pPr>
        <w:jc w:val="both"/>
        <w:rPr>
          <w:rStyle w:val="fontstyle21"/>
        </w:rPr>
      </w:pPr>
      <w:r>
        <w:rPr>
          <w:rStyle w:val="fontstyle21"/>
        </w:rPr>
        <w:t xml:space="preserve">Příjmy rozpočtu </w:t>
      </w:r>
      <w:r w:rsidR="003528FF">
        <w:rPr>
          <w:rStyle w:val="fontstyle21"/>
        </w:rPr>
        <w:t>obce Lenešice</w:t>
      </w:r>
      <w:r>
        <w:rPr>
          <w:rStyle w:val="fontstyle21"/>
        </w:rPr>
        <w:t xml:space="preserve"> pro rok 202</w:t>
      </w:r>
      <w:r w:rsidR="00FB5451">
        <w:rPr>
          <w:rStyle w:val="fontstyle21"/>
        </w:rPr>
        <w:t>6</w:t>
      </w:r>
      <w:r>
        <w:rPr>
          <w:rStyle w:val="fontstyle21"/>
        </w:rPr>
        <w:t xml:space="preserve"> jsou </w:t>
      </w:r>
      <w:r w:rsidR="00BE07C4">
        <w:rPr>
          <w:rStyle w:val="fontstyle21"/>
        </w:rPr>
        <w:t>předpokládány</w:t>
      </w:r>
      <w:r>
        <w:rPr>
          <w:rStyle w:val="fontstyle21"/>
        </w:rPr>
        <w:t xml:space="preserve"> v celkové výši</w:t>
      </w:r>
      <w:r w:rsidR="003E2F86">
        <w:rPr>
          <w:rStyle w:val="fontstyle21"/>
        </w:rPr>
        <w:br/>
      </w:r>
      <w:r>
        <w:rPr>
          <w:rStyle w:val="fontstyle21"/>
        </w:rPr>
        <w:t xml:space="preserve"> </w:t>
      </w:r>
      <w:r w:rsidR="003A29C3">
        <w:rPr>
          <w:rStyle w:val="fontstyle01"/>
          <w:sz w:val="24"/>
          <w:szCs w:val="24"/>
        </w:rPr>
        <w:t>40 600</w:t>
      </w:r>
      <w:r w:rsidRPr="00654FE6">
        <w:rPr>
          <w:rStyle w:val="fontstyle01"/>
          <w:sz w:val="24"/>
          <w:szCs w:val="24"/>
        </w:rPr>
        <w:t xml:space="preserve"> tis. Kč</w:t>
      </w:r>
      <w:r>
        <w:rPr>
          <w:rStyle w:val="fontstyle21"/>
        </w:rPr>
        <w:t>.</w:t>
      </w:r>
      <w:r w:rsidR="00F03872">
        <w:rPr>
          <w:rStyle w:val="fontstyle21"/>
        </w:rPr>
        <w:t xml:space="preserve"> </w:t>
      </w:r>
      <w:r w:rsidR="00B02E6F">
        <w:rPr>
          <w:rStyle w:val="fontstyle21"/>
        </w:rPr>
        <w:t xml:space="preserve"> </w:t>
      </w:r>
      <w:r w:rsidR="003528FF">
        <w:rPr>
          <w:rStyle w:val="fontstyle21"/>
        </w:rPr>
        <w:t>Obec</w:t>
      </w:r>
      <w:r>
        <w:rPr>
          <w:rStyle w:val="fontstyle21"/>
        </w:rPr>
        <w:t xml:space="preserve"> bude financovat své potřeby zejména z vlastních daňových a nedaňových</w:t>
      </w:r>
      <w:r w:rsidR="00F13D3D">
        <w:rPr>
          <w:rStyle w:val="fontstyle21"/>
        </w:rPr>
        <w:t xml:space="preserve"> </w:t>
      </w:r>
      <w:r w:rsidR="007A4B9C">
        <w:rPr>
          <w:rStyle w:val="fontstyle21"/>
        </w:rPr>
        <w:t>příjmů</w:t>
      </w:r>
      <w:r>
        <w:rPr>
          <w:rStyle w:val="fontstyle21"/>
        </w:rPr>
        <w:t>.</w:t>
      </w:r>
      <w:r w:rsidR="00F03872">
        <w:rPr>
          <w:rStyle w:val="fontstyle21"/>
        </w:rPr>
        <w:t xml:space="preserve"> </w:t>
      </w:r>
    </w:p>
    <w:p w14:paraId="0BBD34FA" w14:textId="77777777" w:rsidR="00A86106" w:rsidRPr="00A86106" w:rsidRDefault="00A86106" w:rsidP="007C19A4">
      <w:pPr>
        <w:jc w:val="both"/>
        <w:rPr>
          <w:rStyle w:val="fontstyle21"/>
          <w:rFonts w:ascii="Calibri-Bold" w:hAnsi="Calibri-Bold" w:cstheme="minorBidi"/>
          <w:b/>
          <w:bCs/>
        </w:rPr>
      </w:pPr>
    </w:p>
    <w:p w14:paraId="3801F6CA" w14:textId="07AA47D3" w:rsidR="00681DA5" w:rsidRDefault="00866754" w:rsidP="00F03872">
      <w:pPr>
        <w:ind w:left="420"/>
        <w:rPr>
          <w:rStyle w:val="fontstyle21"/>
          <w:color w:val="auto"/>
        </w:rPr>
      </w:pPr>
      <w:r w:rsidRPr="00B30DA3">
        <w:rPr>
          <w:rStyle w:val="fontstyle21"/>
          <w:color w:val="auto"/>
        </w:rPr>
        <w:t>G r a f – Struktura příjmů 202</w:t>
      </w:r>
      <w:r w:rsidR="00EB728B">
        <w:rPr>
          <w:rStyle w:val="fontstyle21"/>
          <w:color w:val="auto"/>
        </w:rPr>
        <w:t>6</w:t>
      </w:r>
    </w:p>
    <w:p w14:paraId="3383C696" w14:textId="76647024" w:rsidR="005226EF" w:rsidRPr="00B30DA3" w:rsidRDefault="00FB5451" w:rsidP="00F03872">
      <w:pPr>
        <w:ind w:left="420"/>
        <w:rPr>
          <w:rStyle w:val="fontstyle21"/>
          <w:color w:val="auto"/>
        </w:rPr>
      </w:pPr>
      <w:r>
        <w:rPr>
          <w:noProof/>
          <w:lang w:eastAsia="cs-CZ"/>
        </w:rPr>
        <w:drawing>
          <wp:inline distT="0" distB="0" distL="0" distR="0" wp14:anchorId="062F1C07" wp14:editId="5852F143">
            <wp:extent cx="5000625" cy="2743200"/>
            <wp:effectExtent l="0" t="0" r="9525" b="0"/>
            <wp:docPr id="1028414980" name="Graf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26603BC-9798-C3B3-167F-020E5D22F5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4CCD909" w14:textId="486444FC" w:rsidR="00681DA5" w:rsidRDefault="00681DA5" w:rsidP="00C574D8">
      <w:pPr>
        <w:ind w:left="420"/>
        <w:rPr>
          <w:rStyle w:val="fontstyle21"/>
          <w:color w:val="FF0000"/>
        </w:rPr>
      </w:pPr>
    </w:p>
    <w:tbl>
      <w:tblPr>
        <w:tblW w:w="5949" w:type="dxa"/>
        <w:tblInd w:w="15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3349"/>
      </w:tblGrid>
      <w:tr w:rsidR="00FB5451" w:rsidRPr="004D7124" w14:paraId="029A4B94" w14:textId="77777777" w:rsidTr="004D7124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BAF93" w14:textId="77777777" w:rsidR="00FB5451" w:rsidRPr="004D7124" w:rsidRDefault="00FB5451" w:rsidP="00FB5451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eastAsia="cs-CZ"/>
              </w:rPr>
            </w:pPr>
            <w:r w:rsidRPr="004D7124">
              <w:rPr>
                <w:rFonts w:ascii="Aptos Narrow" w:eastAsia="Times New Roman" w:hAnsi="Aptos Narrow" w:cs="Calibri"/>
                <w:color w:val="000000"/>
                <w:lang w:eastAsia="cs-CZ"/>
              </w:rPr>
              <w:t>třída1 - daňové příjmy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B6DA6" w14:textId="67109953" w:rsidR="00FB5451" w:rsidRPr="004D7124" w:rsidRDefault="00FB5451" w:rsidP="003A2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36 000 000 Kč </w:t>
            </w:r>
          </w:p>
        </w:tc>
      </w:tr>
      <w:tr w:rsidR="00FB5451" w:rsidRPr="004D7124" w14:paraId="6A8935EB" w14:textId="77777777" w:rsidTr="004D7124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2312C" w14:textId="77777777" w:rsidR="00FB5451" w:rsidRPr="004D7124" w:rsidRDefault="00FB5451" w:rsidP="00FB5451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eastAsia="cs-CZ"/>
              </w:rPr>
            </w:pPr>
            <w:r w:rsidRPr="004D7124">
              <w:rPr>
                <w:rFonts w:ascii="Aptos Narrow" w:eastAsia="Times New Roman" w:hAnsi="Aptos Narrow" w:cs="Calibri"/>
                <w:color w:val="000000"/>
                <w:lang w:eastAsia="cs-CZ"/>
              </w:rPr>
              <w:t>třída 2 - nedaňové příjmy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55EF9" w14:textId="0B5D439C" w:rsidR="00FB5451" w:rsidRPr="004D7124" w:rsidRDefault="00FB5451" w:rsidP="003A2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2 000 000 Kč </w:t>
            </w:r>
          </w:p>
        </w:tc>
      </w:tr>
      <w:tr w:rsidR="00FB5451" w:rsidRPr="004D7124" w14:paraId="674CE5B5" w14:textId="77777777" w:rsidTr="004D7124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672CE" w14:textId="77777777" w:rsidR="00FB5451" w:rsidRPr="004D7124" w:rsidRDefault="00FB5451" w:rsidP="00FB5451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eastAsia="cs-CZ"/>
              </w:rPr>
            </w:pPr>
            <w:r w:rsidRPr="004D7124">
              <w:rPr>
                <w:rFonts w:ascii="Aptos Narrow" w:eastAsia="Times New Roman" w:hAnsi="Aptos Narrow" w:cs="Calibri"/>
                <w:color w:val="000000"/>
                <w:lang w:eastAsia="cs-CZ"/>
              </w:rPr>
              <w:t>třída 3 - kapitálové příjmy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F1B09" w14:textId="14B42689" w:rsidR="00FB5451" w:rsidRPr="004D7124" w:rsidRDefault="00FB5451" w:rsidP="003A2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- Kč </w:t>
            </w:r>
          </w:p>
        </w:tc>
      </w:tr>
      <w:tr w:rsidR="00FB5451" w:rsidRPr="004D7124" w14:paraId="2F6D694D" w14:textId="77777777" w:rsidTr="004D7124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54EDD" w14:textId="77777777" w:rsidR="00FB5451" w:rsidRPr="004D7124" w:rsidRDefault="00FB5451" w:rsidP="00FB5451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eastAsia="cs-CZ"/>
              </w:rPr>
            </w:pPr>
            <w:r w:rsidRPr="004D7124">
              <w:rPr>
                <w:rFonts w:ascii="Aptos Narrow" w:eastAsia="Times New Roman" w:hAnsi="Aptos Narrow" w:cs="Calibri"/>
                <w:color w:val="000000"/>
                <w:lang w:eastAsia="cs-CZ"/>
              </w:rPr>
              <w:t>třída 4 - přijaté transfery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F1C4C" w14:textId="0196EA0C" w:rsidR="00FB5451" w:rsidRPr="004D7124" w:rsidRDefault="00FB5451" w:rsidP="003A2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2 600 000 Kč </w:t>
            </w:r>
          </w:p>
        </w:tc>
      </w:tr>
      <w:tr w:rsidR="00FB5451" w:rsidRPr="004D7124" w14:paraId="04E28272" w14:textId="77777777" w:rsidTr="004D7124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D72B6" w14:textId="77777777" w:rsidR="00FB5451" w:rsidRPr="004D7124" w:rsidRDefault="00FB5451" w:rsidP="00FB5451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lang w:eastAsia="cs-CZ"/>
              </w:rPr>
            </w:pPr>
            <w:r w:rsidRPr="004D7124">
              <w:rPr>
                <w:rFonts w:ascii="Aptos Narrow" w:eastAsia="Times New Roman" w:hAnsi="Aptos Narrow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66B62" w14:textId="5D41DC40" w:rsidR="00FB5451" w:rsidRPr="004D7124" w:rsidRDefault="003A29C3" w:rsidP="003A2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  <w:r>
              <w:rPr>
                <w:b/>
                <w:bCs/>
              </w:rPr>
              <w:t>0 6</w:t>
            </w:r>
            <w:r w:rsidR="00FB5451">
              <w:rPr>
                <w:rFonts w:ascii="Calibri" w:hAnsi="Calibri" w:cs="Calibri"/>
                <w:b/>
                <w:bCs/>
                <w:color w:val="000000"/>
              </w:rPr>
              <w:t>00 000 Kč</w:t>
            </w:r>
          </w:p>
        </w:tc>
      </w:tr>
    </w:tbl>
    <w:p w14:paraId="53928112" w14:textId="77777777" w:rsidR="004D7124" w:rsidRDefault="004D7124" w:rsidP="007C19A4">
      <w:pPr>
        <w:jc w:val="both"/>
        <w:rPr>
          <w:rStyle w:val="fontstyle21"/>
        </w:rPr>
      </w:pPr>
    </w:p>
    <w:p w14:paraId="09382BD5" w14:textId="77777777" w:rsidR="004D7124" w:rsidRDefault="004D7124" w:rsidP="007C19A4">
      <w:pPr>
        <w:jc w:val="both"/>
        <w:rPr>
          <w:rStyle w:val="fontstyle21"/>
        </w:rPr>
      </w:pPr>
    </w:p>
    <w:p w14:paraId="3C3CD437" w14:textId="4442532F" w:rsidR="00F03872" w:rsidRPr="00DB684F" w:rsidRDefault="00866754" w:rsidP="007C19A4">
      <w:pPr>
        <w:jc w:val="both"/>
        <w:rPr>
          <w:rStyle w:val="fontstyle21"/>
          <w:color w:val="FF0000"/>
        </w:rPr>
      </w:pPr>
      <w:r>
        <w:rPr>
          <w:rStyle w:val="fontstyle21"/>
        </w:rPr>
        <w:t xml:space="preserve">Největší finanční objem z celkových příjmů je rozpočtován u </w:t>
      </w:r>
      <w:r w:rsidRPr="00654FE6">
        <w:rPr>
          <w:rStyle w:val="fontstyle01"/>
          <w:sz w:val="24"/>
          <w:szCs w:val="24"/>
        </w:rPr>
        <w:t xml:space="preserve">daňových příjmů </w:t>
      </w:r>
      <w:r>
        <w:rPr>
          <w:rStyle w:val="fontstyle21"/>
        </w:rPr>
        <w:t>třídy 1, jejich</w:t>
      </w:r>
      <w:r w:rsidR="00F03872">
        <w:rPr>
          <w:rStyle w:val="fontstyle21"/>
        </w:rPr>
        <w:t xml:space="preserve"> </w:t>
      </w:r>
      <w:r>
        <w:rPr>
          <w:rStyle w:val="fontstyle21"/>
        </w:rPr>
        <w:t xml:space="preserve">podíl dosahuje </w:t>
      </w:r>
      <w:r w:rsidR="00F9144C">
        <w:rPr>
          <w:rStyle w:val="fontstyle21"/>
        </w:rPr>
        <w:t>89</w:t>
      </w:r>
      <w:r>
        <w:rPr>
          <w:rStyle w:val="fontstyle21"/>
        </w:rPr>
        <w:t xml:space="preserve"> % běžných příjmů rozpočtu </w:t>
      </w:r>
      <w:r w:rsidR="00086424">
        <w:rPr>
          <w:rStyle w:val="fontstyle21"/>
        </w:rPr>
        <w:t>obce</w:t>
      </w:r>
      <w:r>
        <w:rPr>
          <w:rStyle w:val="fontstyle21"/>
        </w:rPr>
        <w:t>. Reálnost rozpočtovaných výnosů,</w:t>
      </w:r>
      <w:r w:rsidR="00F03872">
        <w:rPr>
          <w:rStyle w:val="fontstyle21"/>
        </w:rPr>
        <w:t xml:space="preserve"> </w:t>
      </w:r>
      <w:r>
        <w:rPr>
          <w:rStyle w:val="fontstyle21"/>
        </w:rPr>
        <w:t>především sdílených daní se státním rozpočtem, se bude odvíjet od vývoje celostátní</w:t>
      </w:r>
      <w:r w:rsidR="00F03872">
        <w:rPr>
          <w:rStyle w:val="fontstyle21"/>
        </w:rPr>
        <w:t xml:space="preserve"> </w:t>
      </w:r>
      <w:r>
        <w:rPr>
          <w:rStyle w:val="fontstyle21"/>
        </w:rPr>
        <w:t>ekonomiky a od případných dalších zásahů státu do daňového systému. Při rozpočtech</w:t>
      </w:r>
      <w:r w:rsidR="00F03872">
        <w:rPr>
          <w:rStyle w:val="fontstyle21"/>
        </w:rPr>
        <w:t xml:space="preserve"> </w:t>
      </w:r>
      <w:r>
        <w:rPr>
          <w:rStyle w:val="fontstyle21"/>
        </w:rPr>
        <w:t>jednotlivých ukazatelů bylo přihlédnuto k aktuálnímu stavu naplňování rozpočtu obce a</w:t>
      </w:r>
      <w:r w:rsidR="00F03872">
        <w:rPr>
          <w:rStyle w:val="fontstyle21"/>
        </w:rPr>
        <w:t xml:space="preserve"> </w:t>
      </w:r>
      <w:r>
        <w:rPr>
          <w:rStyle w:val="fontstyle21"/>
        </w:rPr>
        <w:t xml:space="preserve">predikci daňových příjmů. Součástí této predikce je i výhled Ministerstva financí. </w:t>
      </w:r>
    </w:p>
    <w:p w14:paraId="5AC303CC" w14:textId="77777777" w:rsidR="00E31D6A" w:rsidRDefault="00E31D6A" w:rsidP="00F03872">
      <w:pPr>
        <w:ind w:left="420"/>
        <w:rPr>
          <w:rStyle w:val="fontstyle21"/>
        </w:rPr>
      </w:pPr>
    </w:p>
    <w:p w14:paraId="672138CF" w14:textId="77777777" w:rsidR="009A23C2" w:rsidRDefault="009A23C2" w:rsidP="00F03872">
      <w:pPr>
        <w:ind w:left="420"/>
        <w:rPr>
          <w:rStyle w:val="fontstyle21"/>
        </w:rPr>
      </w:pPr>
    </w:p>
    <w:p w14:paraId="09F64FD9" w14:textId="7C27F7DA" w:rsidR="00D23D98" w:rsidRDefault="00866754" w:rsidP="00037E8E">
      <w:pPr>
        <w:jc w:val="both"/>
        <w:rPr>
          <w:rStyle w:val="fontstyle21"/>
        </w:rPr>
      </w:pPr>
      <w:r w:rsidRPr="00654FE6">
        <w:rPr>
          <w:rStyle w:val="fontstyle01"/>
          <w:sz w:val="24"/>
          <w:szCs w:val="24"/>
        </w:rPr>
        <w:lastRenderedPageBreak/>
        <w:t xml:space="preserve">Nedaňové příjmy </w:t>
      </w:r>
      <w:r>
        <w:rPr>
          <w:rStyle w:val="fontstyle21"/>
        </w:rPr>
        <w:t>třídy 2 (především příjmy z vlastní činnosti –</w:t>
      </w:r>
      <w:r w:rsidR="00570535">
        <w:rPr>
          <w:rStyle w:val="fontstyle21"/>
        </w:rPr>
        <w:t xml:space="preserve"> </w:t>
      </w:r>
      <w:r>
        <w:rPr>
          <w:rStyle w:val="fontstyle21"/>
        </w:rPr>
        <w:t>z pronájmu majetku – nájemné z pozemků, nebytových prostor,</w:t>
      </w:r>
      <w:r w:rsidR="00F03872">
        <w:rPr>
          <w:rStyle w:val="fontstyle21"/>
        </w:rPr>
        <w:t xml:space="preserve"> </w:t>
      </w:r>
      <w:r>
        <w:rPr>
          <w:rStyle w:val="fontstyle21"/>
        </w:rPr>
        <w:t xml:space="preserve">bytů; příjmy z úroků) </w:t>
      </w:r>
      <w:r w:rsidR="00D23D98">
        <w:rPr>
          <w:rStyle w:val="fontstyle21"/>
        </w:rPr>
        <w:t>vycházejí z roku 202</w:t>
      </w:r>
      <w:r w:rsidR="00F9144C">
        <w:rPr>
          <w:rStyle w:val="fontstyle21"/>
        </w:rPr>
        <w:t>5</w:t>
      </w:r>
      <w:r w:rsidR="00850427">
        <w:rPr>
          <w:rStyle w:val="fontstyle21"/>
        </w:rPr>
        <w:t xml:space="preserve">. </w:t>
      </w:r>
    </w:p>
    <w:p w14:paraId="70D0DBC6" w14:textId="4472EF32" w:rsidR="0092470B" w:rsidRPr="0070525A" w:rsidRDefault="00866754" w:rsidP="00276590">
      <w:pPr>
        <w:rPr>
          <w:rStyle w:val="fontstyle21"/>
          <w:rFonts w:ascii="Calibri-Bold" w:hAnsi="Calibri-Bold" w:cstheme="minorBidi"/>
          <w:b/>
          <w:bCs/>
        </w:rPr>
      </w:pPr>
      <w:r w:rsidRPr="00654FE6">
        <w:rPr>
          <w:rFonts w:ascii="Calibri" w:hAnsi="Calibri" w:cs="Calibri"/>
          <w:color w:val="000000"/>
        </w:rPr>
        <w:br/>
      </w:r>
      <w:r w:rsidRPr="00654FE6">
        <w:rPr>
          <w:rStyle w:val="fontstyle01"/>
          <w:sz w:val="24"/>
          <w:szCs w:val="24"/>
        </w:rPr>
        <w:t xml:space="preserve">Přijaté transfery </w:t>
      </w:r>
      <w:r>
        <w:rPr>
          <w:rStyle w:val="fontstyle21"/>
        </w:rPr>
        <w:t xml:space="preserve">třídy 4 </w:t>
      </w:r>
      <w:r w:rsidR="0058074C">
        <w:rPr>
          <w:rStyle w:val="fontstyle21"/>
        </w:rPr>
        <w:t>–</w:t>
      </w:r>
      <w:r>
        <w:rPr>
          <w:rStyle w:val="fontstyle21"/>
        </w:rPr>
        <w:t xml:space="preserve"> </w:t>
      </w:r>
      <w:r w:rsidR="0058074C">
        <w:rPr>
          <w:rStyle w:val="fontstyle21"/>
        </w:rPr>
        <w:t xml:space="preserve">jedná se o účelovou dotaci Krajského úřadu </w:t>
      </w:r>
      <w:r w:rsidR="004A5444">
        <w:rPr>
          <w:rStyle w:val="fontstyle21"/>
        </w:rPr>
        <w:t>na výkon veřejné správy</w:t>
      </w:r>
      <w:r w:rsidR="00F9144C">
        <w:rPr>
          <w:rStyle w:val="fontstyle21"/>
        </w:rPr>
        <w:t xml:space="preserve"> a příjmy se zasmluvněných dotací</w:t>
      </w:r>
      <w:r w:rsidR="004A5444">
        <w:rPr>
          <w:rStyle w:val="fontstyle21"/>
        </w:rPr>
        <w:t>.</w:t>
      </w:r>
    </w:p>
    <w:p w14:paraId="0EC535BB" w14:textId="22A00AF3" w:rsidR="0092470B" w:rsidRDefault="00866754" w:rsidP="00037E8E">
      <w:pPr>
        <w:jc w:val="both"/>
        <w:rPr>
          <w:rStyle w:val="fontstyle01"/>
          <w:sz w:val="24"/>
          <w:szCs w:val="24"/>
        </w:rPr>
      </w:pPr>
      <w:r w:rsidRPr="00654FE6">
        <w:rPr>
          <w:rFonts w:ascii="Calibri" w:hAnsi="Calibri" w:cs="Calibri"/>
          <w:color w:val="000000"/>
        </w:rPr>
        <w:br/>
      </w:r>
      <w:r w:rsidRPr="00654FE6">
        <w:rPr>
          <w:rStyle w:val="fontstyle01"/>
          <w:sz w:val="24"/>
          <w:szCs w:val="24"/>
        </w:rPr>
        <w:t>Financování</w:t>
      </w:r>
    </w:p>
    <w:p w14:paraId="42214B20" w14:textId="62621DD1" w:rsidR="0092470B" w:rsidRDefault="00866754" w:rsidP="00037E8E">
      <w:pPr>
        <w:jc w:val="both"/>
        <w:rPr>
          <w:rStyle w:val="fontstyle21"/>
        </w:rPr>
      </w:pPr>
      <w:r w:rsidRPr="00654FE6">
        <w:rPr>
          <w:rFonts w:ascii="Calibri-Bold" w:hAnsi="Calibri-Bold"/>
          <w:b/>
          <w:bCs/>
          <w:color w:val="000000"/>
        </w:rPr>
        <w:br/>
      </w:r>
      <w:r>
        <w:rPr>
          <w:rStyle w:val="fontstyle21"/>
        </w:rPr>
        <w:t xml:space="preserve">Návrh rozpočtu </w:t>
      </w:r>
      <w:r w:rsidR="00441009">
        <w:rPr>
          <w:rStyle w:val="fontstyle21"/>
        </w:rPr>
        <w:t>obce Lenešice</w:t>
      </w:r>
      <w:r>
        <w:rPr>
          <w:rStyle w:val="fontstyle21"/>
        </w:rPr>
        <w:t xml:space="preserve"> na rok 202</w:t>
      </w:r>
      <w:r w:rsidR="00F9144C">
        <w:rPr>
          <w:rStyle w:val="fontstyle21"/>
        </w:rPr>
        <w:t>6</w:t>
      </w:r>
      <w:r>
        <w:rPr>
          <w:rStyle w:val="fontstyle21"/>
        </w:rPr>
        <w:t xml:space="preserve"> je tvořen v části Financování zapojením</w:t>
      </w:r>
      <w:r w:rsidR="00F03872">
        <w:rPr>
          <w:rStyle w:val="fontstyle21"/>
        </w:rPr>
        <w:t xml:space="preserve"> </w:t>
      </w:r>
      <w:r>
        <w:rPr>
          <w:rStyle w:val="fontstyle21"/>
        </w:rPr>
        <w:t>výsledku hospodaření minul</w:t>
      </w:r>
      <w:r w:rsidR="00CA73E9">
        <w:rPr>
          <w:rStyle w:val="fontstyle21"/>
        </w:rPr>
        <w:t>ých let.</w:t>
      </w:r>
    </w:p>
    <w:p w14:paraId="4FB7D508" w14:textId="77777777" w:rsidR="00B92DE4" w:rsidRDefault="00866754" w:rsidP="00037E8E">
      <w:pPr>
        <w:rPr>
          <w:rStyle w:val="fontstyle01"/>
          <w:sz w:val="24"/>
          <w:szCs w:val="24"/>
        </w:rPr>
      </w:pPr>
      <w:r w:rsidRPr="00654FE6">
        <w:rPr>
          <w:rFonts w:ascii="Calibri" w:hAnsi="Calibri" w:cs="Calibri"/>
          <w:color w:val="000000"/>
        </w:rPr>
        <w:br/>
      </w:r>
      <w:r w:rsidR="00CA73E9">
        <w:rPr>
          <w:rStyle w:val="fontstyle01"/>
          <w:sz w:val="24"/>
          <w:szCs w:val="24"/>
        </w:rPr>
        <w:t>V</w:t>
      </w:r>
      <w:r w:rsidRPr="00654FE6">
        <w:rPr>
          <w:rStyle w:val="fontstyle01"/>
          <w:sz w:val="24"/>
          <w:szCs w:val="24"/>
        </w:rPr>
        <w:t>ýdaje</w:t>
      </w:r>
      <w:r w:rsidR="00294421">
        <w:rPr>
          <w:rStyle w:val="fontstyle01"/>
          <w:sz w:val="24"/>
          <w:szCs w:val="24"/>
        </w:rPr>
        <w:t xml:space="preserve"> </w:t>
      </w:r>
      <w:r w:rsidRPr="00654FE6">
        <w:rPr>
          <w:rStyle w:val="fontstyle01"/>
          <w:sz w:val="24"/>
          <w:szCs w:val="24"/>
        </w:rPr>
        <w:t>rozpočtu</w:t>
      </w:r>
    </w:p>
    <w:p w14:paraId="0AB4D0E8" w14:textId="2062BAC3" w:rsidR="00F03872" w:rsidRPr="00037E8E" w:rsidRDefault="00866754" w:rsidP="00B92DE4">
      <w:pPr>
        <w:jc w:val="both"/>
        <w:rPr>
          <w:rStyle w:val="fontstyle21"/>
          <w:rFonts w:ascii="Calibri-Bold" w:hAnsi="Calibri-Bold" w:cstheme="minorBidi"/>
          <w:b/>
          <w:bCs/>
        </w:rPr>
      </w:pPr>
      <w:r>
        <w:rPr>
          <w:rStyle w:val="fontstyle21"/>
        </w:rPr>
        <w:t xml:space="preserve">Návrh rozpočtu předpokládá, že výdaje </w:t>
      </w:r>
      <w:r w:rsidR="003528FF">
        <w:rPr>
          <w:rStyle w:val="fontstyle21"/>
        </w:rPr>
        <w:t>obce Lenešice</w:t>
      </w:r>
      <w:r>
        <w:rPr>
          <w:rStyle w:val="fontstyle21"/>
        </w:rPr>
        <w:t xml:space="preserve"> roce 202</w:t>
      </w:r>
      <w:r w:rsidR="00F9144C">
        <w:rPr>
          <w:rStyle w:val="fontstyle21"/>
        </w:rPr>
        <w:t>6</w:t>
      </w:r>
      <w:r>
        <w:rPr>
          <w:rStyle w:val="fontstyle21"/>
        </w:rPr>
        <w:t xml:space="preserve"> dosáhnou částky</w:t>
      </w:r>
      <w:r w:rsidR="00F03872">
        <w:rPr>
          <w:rStyle w:val="fontstyle21"/>
        </w:rPr>
        <w:t xml:space="preserve"> </w:t>
      </w:r>
      <w:r w:rsidR="00B92DE4">
        <w:rPr>
          <w:rStyle w:val="fontstyle21"/>
        </w:rPr>
        <w:t xml:space="preserve"> </w:t>
      </w:r>
      <w:r w:rsidR="00B92DE4">
        <w:rPr>
          <w:rStyle w:val="fontstyle21"/>
        </w:rPr>
        <w:br/>
      </w:r>
      <w:r w:rsidR="003A29C3">
        <w:rPr>
          <w:rStyle w:val="fontstyle01"/>
          <w:sz w:val="24"/>
          <w:szCs w:val="24"/>
        </w:rPr>
        <w:t>87</w:t>
      </w:r>
      <w:r w:rsidR="00A86106">
        <w:rPr>
          <w:rStyle w:val="fontstyle01"/>
          <w:sz w:val="24"/>
          <w:szCs w:val="24"/>
        </w:rPr>
        <w:t xml:space="preserve"> 000</w:t>
      </w:r>
      <w:r w:rsidRPr="00654FE6">
        <w:rPr>
          <w:rStyle w:val="fontstyle01"/>
          <w:sz w:val="24"/>
          <w:szCs w:val="24"/>
        </w:rPr>
        <w:t xml:space="preserve"> tis. Kč</w:t>
      </w:r>
      <w:r>
        <w:rPr>
          <w:rStyle w:val="fontstyle21"/>
        </w:rPr>
        <w:t xml:space="preserve">, z toho </w:t>
      </w:r>
      <w:r w:rsidR="00710007">
        <w:rPr>
          <w:rStyle w:val="fontstyle21"/>
        </w:rPr>
        <w:t>37</w:t>
      </w:r>
      <w:r>
        <w:rPr>
          <w:rStyle w:val="fontstyle21"/>
        </w:rPr>
        <w:t xml:space="preserve"> % budou činit výdaje běžné a </w:t>
      </w:r>
      <w:r w:rsidR="002C4FD4">
        <w:rPr>
          <w:rStyle w:val="fontstyle21"/>
        </w:rPr>
        <w:t>63</w:t>
      </w:r>
      <w:r>
        <w:rPr>
          <w:rStyle w:val="fontstyle21"/>
        </w:rPr>
        <w:t>% výdaje kapitálové.</w:t>
      </w:r>
      <w:r w:rsidR="00C648A0">
        <w:rPr>
          <w:rStyle w:val="fontstyle21"/>
        </w:rPr>
        <w:t xml:space="preserve"> </w:t>
      </w:r>
      <w:r w:rsidR="00E57B00">
        <w:rPr>
          <w:rStyle w:val="fontstyle21"/>
        </w:rPr>
        <w:t>Významně vyšší podíl kapitálových výdajů je dán rozpracovaností investičních projektů</w:t>
      </w:r>
      <w:r w:rsidR="003A34DB">
        <w:rPr>
          <w:rStyle w:val="fontstyle21"/>
        </w:rPr>
        <w:t>.</w:t>
      </w:r>
    </w:p>
    <w:p w14:paraId="589F9DEB" w14:textId="71C651AB" w:rsidR="0091333A" w:rsidRDefault="00866754" w:rsidP="003A34DB">
      <w:pPr>
        <w:jc w:val="both"/>
        <w:rPr>
          <w:rStyle w:val="fontstyle21"/>
        </w:rPr>
      </w:pPr>
      <w:r>
        <w:rPr>
          <w:rStyle w:val="fontstyle21"/>
        </w:rPr>
        <w:t xml:space="preserve">V rámci </w:t>
      </w:r>
      <w:r w:rsidRPr="00654FE6">
        <w:rPr>
          <w:rStyle w:val="fontstyle01"/>
          <w:sz w:val="24"/>
          <w:szCs w:val="24"/>
        </w:rPr>
        <w:t xml:space="preserve">běžných výdajů </w:t>
      </w:r>
      <w:r>
        <w:rPr>
          <w:rStyle w:val="fontstyle21"/>
        </w:rPr>
        <w:t>je navržena k financování celá řada činností samosprávných,</w:t>
      </w:r>
      <w:r w:rsidR="00086424">
        <w:rPr>
          <w:rStyle w:val="fontstyle21"/>
        </w:rPr>
        <w:t xml:space="preserve"> </w:t>
      </w:r>
      <w:r>
        <w:rPr>
          <w:rStyle w:val="fontstyle21"/>
        </w:rPr>
        <w:t xml:space="preserve">vyplývajících z poslání </w:t>
      </w:r>
      <w:r w:rsidR="00086424">
        <w:rPr>
          <w:rStyle w:val="fontstyle21"/>
        </w:rPr>
        <w:t>obce</w:t>
      </w:r>
      <w:r>
        <w:rPr>
          <w:rStyle w:val="fontstyle21"/>
        </w:rPr>
        <w:t xml:space="preserve"> a zákona o obcích</w:t>
      </w:r>
      <w:r w:rsidR="0092470B">
        <w:rPr>
          <w:rStyle w:val="fontstyle21"/>
        </w:rPr>
        <w:t>.</w:t>
      </w:r>
      <w:r w:rsidR="00E95F35">
        <w:rPr>
          <w:rStyle w:val="fontstyle21"/>
        </w:rPr>
        <w:t xml:space="preserve"> </w:t>
      </w:r>
      <w:r w:rsidR="0053095A">
        <w:rPr>
          <w:rStyle w:val="fontstyle21"/>
        </w:rPr>
        <w:t>Dále pak opravy majetku obce, především silnic</w:t>
      </w:r>
      <w:r w:rsidR="00C355AE">
        <w:rPr>
          <w:rStyle w:val="fontstyle21"/>
        </w:rPr>
        <w:t xml:space="preserve"> a budov.</w:t>
      </w:r>
      <w:r w:rsidR="00F9144C">
        <w:rPr>
          <w:rStyle w:val="fontstyle21"/>
        </w:rPr>
        <w:t xml:space="preserve"> Od roku 2026 jsou v běžných výdajích započítány i platy nepedagogických pracovníků školy.</w:t>
      </w:r>
      <w:r w:rsidR="00C355AE">
        <w:rPr>
          <w:rStyle w:val="fontstyle21"/>
        </w:rPr>
        <w:t xml:space="preserve"> </w:t>
      </w:r>
      <w:r w:rsidR="0091333A">
        <w:rPr>
          <w:rStyle w:val="fontstyle21"/>
        </w:rPr>
        <w:t xml:space="preserve">Příspěvek do sociálního fondu je </w:t>
      </w:r>
      <w:r w:rsidR="00C355AE">
        <w:rPr>
          <w:rStyle w:val="fontstyle21"/>
        </w:rPr>
        <w:t>135</w:t>
      </w:r>
      <w:r w:rsidR="0091333A">
        <w:rPr>
          <w:rStyle w:val="fontstyle21"/>
        </w:rPr>
        <w:t xml:space="preserve"> tis. </w:t>
      </w:r>
      <w:r w:rsidR="00A86106">
        <w:rPr>
          <w:rStyle w:val="fontstyle21"/>
        </w:rPr>
        <w:t>k</w:t>
      </w:r>
      <w:r w:rsidR="0091333A">
        <w:rPr>
          <w:rStyle w:val="fontstyle21"/>
        </w:rPr>
        <w:t>orun.</w:t>
      </w:r>
      <w:r w:rsidR="00EB78C7">
        <w:rPr>
          <w:rStyle w:val="fontstyle21"/>
        </w:rPr>
        <w:t xml:space="preserve"> V</w:t>
      </w:r>
      <w:r w:rsidR="00EB728B">
        <w:rPr>
          <w:rStyle w:val="fontstyle21"/>
        </w:rPr>
        <w:t xml:space="preserve"> rozpočtu je dále </w:t>
      </w:r>
      <w:r w:rsidR="00EB78C7">
        <w:rPr>
          <w:rStyle w:val="fontstyle21"/>
        </w:rPr>
        <w:t xml:space="preserve">příspěvek Základní škole </w:t>
      </w:r>
      <w:r w:rsidR="00F9144C">
        <w:rPr>
          <w:rStyle w:val="fontstyle21"/>
        </w:rPr>
        <w:t xml:space="preserve"> a Mateřské škole Lenešice </w:t>
      </w:r>
      <w:r w:rsidR="00EB78C7">
        <w:rPr>
          <w:rStyle w:val="fontstyle21"/>
        </w:rPr>
        <w:t xml:space="preserve">ve výši </w:t>
      </w:r>
      <w:r w:rsidR="00F9144C">
        <w:rPr>
          <w:rStyle w:val="fontstyle21"/>
        </w:rPr>
        <w:t>9 000</w:t>
      </w:r>
      <w:r w:rsidR="00EB78C7">
        <w:rPr>
          <w:rStyle w:val="fontstyle21"/>
        </w:rPr>
        <w:t> tis. Kč.</w:t>
      </w:r>
    </w:p>
    <w:p w14:paraId="004091C2" w14:textId="35A6BCA4" w:rsidR="0060186B" w:rsidRPr="00654FE6" w:rsidRDefault="00866754" w:rsidP="003A34DB">
      <w:pPr>
        <w:jc w:val="both"/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  <w:r w:rsidRPr="00654FE6">
        <w:rPr>
          <w:rFonts w:ascii="Calibri" w:hAnsi="Calibri" w:cs="Calibri"/>
          <w:color w:val="000000"/>
        </w:rPr>
        <w:br/>
      </w:r>
      <w:r>
        <w:rPr>
          <w:rStyle w:val="fontstyle21"/>
        </w:rPr>
        <w:t xml:space="preserve">V rámci </w:t>
      </w:r>
      <w:r w:rsidRPr="00654FE6">
        <w:rPr>
          <w:rStyle w:val="fontstyle01"/>
          <w:sz w:val="24"/>
          <w:szCs w:val="24"/>
        </w:rPr>
        <w:t>kapitálových</w:t>
      </w:r>
      <w:r>
        <w:rPr>
          <w:rStyle w:val="fontstyle21"/>
        </w:rPr>
        <w:t>, investičních výdajů budou nejvíce zatěžovat rozpočet tyto výdaje:</w:t>
      </w:r>
    </w:p>
    <w:p w14:paraId="36C2CA30" w14:textId="77777777" w:rsidR="0060186B" w:rsidRPr="0060186B" w:rsidRDefault="0060186B" w:rsidP="0060186B">
      <w:pPr>
        <w:pStyle w:val="Odstavecseseznamem"/>
        <w:ind w:left="780"/>
      </w:pPr>
    </w:p>
    <w:p w14:paraId="08F6A171" w14:textId="77777777" w:rsidR="00771F21" w:rsidRPr="00B66524" w:rsidRDefault="00771F21" w:rsidP="00771F21">
      <w:pPr>
        <w:pStyle w:val="Odstavecseseznamem"/>
        <w:numPr>
          <w:ilvl w:val="0"/>
          <w:numId w:val="1"/>
        </w:numPr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  <w:r>
        <w:rPr>
          <w:rStyle w:val="fontstyle21"/>
        </w:rPr>
        <w:t>rekonstrukce chodníků ulice Jiráskova,</w:t>
      </w:r>
    </w:p>
    <w:p w14:paraId="789C133C" w14:textId="5097FEF2" w:rsidR="00771F21" w:rsidRPr="00B85629" w:rsidRDefault="00771F21" w:rsidP="00771F21">
      <w:pPr>
        <w:pStyle w:val="Odstavecseseznamem"/>
        <w:numPr>
          <w:ilvl w:val="0"/>
          <w:numId w:val="1"/>
        </w:numPr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  <w:r>
        <w:rPr>
          <w:rStyle w:val="fontstyle21"/>
        </w:rPr>
        <w:t xml:space="preserve">Rekonstrukce ulic </w:t>
      </w:r>
      <w:r w:rsidR="00F9144C">
        <w:rPr>
          <w:rStyle w:val="fontstyle21"/>
        </w:rPr>
        <w:t xml:space="preserve"> Dlouhá, Husova</w:t>
      </w:r>
    </w:p>
    <w:p w14:paraId="169AE4ED" w14:textId="156B5264" w:rsidR="00771F21" w:rsidRDefault="00F9144C" w:rsidP="00771F21">
      <w:pPr>
        <w:pStyle w:val="Odstavecseseznamem"/>
        <w:numPr>
          <w:ilvl w:val="0"/>
          <w:numId w:val="1"/>
        </w:numPr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  <w:r>
        <w:rPr>
          <w:rStyle w:val="fontstyle21"/>
          <w:rFonts w:asciiTheme="minorHAnsi" w:hAnsiTheme="minorHAnsi" w:cstheme="minorBidi"/>
          <w:color w:val="auto"/>
          <w:sz w:val="22"/>
          <w:szCs w:val="22"/>
        </w:rPr>
        <w:t>Nákup budovy lékaře</w:t>
      </w:r>
    </w:p>
    <w:p w14:paraId="4F4D22F3" w14:textId="38A55E7E" w:rsidR="00771F21" w:rsidRDefault="00771F21" w:rsidP="00F9144C">
      <w:pPr>
        <w:pStyle w:val="Odstavecseseznamem"/>
        <w:ind w:left="780"/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</w:p>
    <w:p w14:paraId="60B8D7FE" w14:textId="77777777" w:rsidR="003A29C3" w:rsidRDefault="003A29C3" w:rsidP="00F9144C">
      <w:pPr>
        <w:pStyle w:val="Odstavecseseznamem"/>
        <w:ind w:left="780"/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</w:p>
    <w:p w14:paraId="5FE81003" w14:textId="77777777" w:rsidR="003A29C3" w:rsidRDefault="003A29C3" w:rsidP="00F9144C">
      <w:pPr>
        <w:pStyle w:val="Odstavecseseznamem"/>
        <w:ind w:left="780"/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</w:p>
    <w:p w14:paraId="79F2A0E3" w14:textId="77777777" w:rsidR="003A29C3" w:rsidRDefault="003A29C3" w:rsidP="00F9144C">
      <w:pPr>
        <w:pStyle w:val="Odstavecseseznamem"/>
        <w:ind w:left="780"/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</w:p>
    <w:p w14:paraId="354A47AE" w14:textId="77777777" w:rsidR="003A29C3" w:rsidRDefault="003A29C3" w:rsidP="00F9144C">
      <w:pPr>
        <w:pStyle w:val="Odstavecseseznamem"/>
        <w:ind w:left="780"/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</w:p>
    <w:p w14:paraId="644071DC" w14:textId="77777777" w:rsidR="003A29C3" w:rsidRDefault="003A29C3" w:rsidP="00F9144C">
      <w:pPr>
        <w:pStyle w:val="Odstavecseseznamem"/>
        <w:ind w:left="780"/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</w:p>
    <w:p w14:paraId="6591FA31" w14:textId="77777777" w:rsidR="003A29C3" w:rsidRDefault="003A29C3" w:rsidP="00F9144C">
      <w:pPr>
        <w:pStyle w:val="Odstavecseseznamem"/>
        <w:ind w:left="780"/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</w:p>
    <w:p w14:paraId="00F28293" w14:textId="77777777" w:rsidR="003A29C3" w:rsidRDefault="003A29C3" w:rsidP="00F9144C">
      <w:pPr>
        <w:pStyle w:val="Odstavecseseznamem"/>
        <w:ind w:left="780"/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</w:p>
    <w:p w14:paraId="653D283C" w14:textId="77777777" w:rsidR="003A29C3" w:rsidRDefault="003A29C3" w:rsidP="00F9144C">
      <w:pPr>
        <w:pStyle w:val="Odstavecseseznamem"/>
        <w:ind w:left="780"/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</w:p>
    <w:p w14:paraId="313F0031" w14:textId="77777777" w:rsidR="003A29C3" w:rsidRDefault="003A29C3" w:rsidP="00F9144C">
      <w:pPr>
        <w:pStyle w:val="Odstavecseseznamem"/>
        <w:ind w:left="780"/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</w:p>
    <w:p w14:paraId="1AE55888" w14:textId="77777777" w:rsidR="003A29C3" w:rsidRDefault="003A29C3" w:rsidP="00F9144C">
      <w:pPr>
        <w:pStyle w:val="Odstavecseseznamem"/>
        <w:ind w:left="780"/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</w:p>
    <w:p w14:paraId="7BB897C8" w14:textId="77777777" w:rsidR="003A29C3" w:rsidRDefault="003A29C3" w:rsidP="00F9144C">
      <w:pPr>
        <w:pStyle w:val="Odstavecseseznamem"/>
        <w:ind w:left="780"/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</w:p>
    <w:p w14:paraId="00FE89D5" w14:textId="77777777" w:rsidR="009F57D2" w:rsidRDefault="009F57D2" w:rsidP="00F9144C">
      <w:pPr>
        <w:pStyle w:val="Odstavecseseznamem"/>
        <w:ind w:left="780"/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</w:p>
    <w:p w14:paraId="3FFA59E4" w14:textId="77777777" w:rsidR="009F57D2" w:rsidRDefault="009F57D2" w:rsidP="00F9144C">
      <w:pPr>
        <w:pStyle w:val="Odstavecseseznamem"/>
        <w:ind w:left="780"/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</w:p>
    <w:p w14:paraId="17C1D7DC" w14:textId="77777777" w:rsidR="004D7124" w:rsidRPr="004D7124" w:rsidRDefault="004D7124" w:rsidP="004D7124">
      <w:pPr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</w:p>
    <w:p w14:paraId="12FD6DFE" w14:textId="60380E39" w:rsidR="004D7124" w:rsidRDefault="004D7124" w:rsidP="00A86106">
      <w:pPr>
        <w:jc w:val="both"/>
        <w:rPr>
          <w:rStyle w:val="fontstyle21"/>
        </w:rPr>
      </w:pPr>
      <w:r>
        <w:rPr>
          <w:rStyle w:val="fontstyle21"/>
        </w:rPr>
        <w:lastRenderedPageBreak/>
        <w:t>G r a f – „Výdaje rozpočtu“</w:t>
      </w:r>
      <w:r w:rsidR="00EB728B">
        <w:rPr>
          <w:rStyle w:val="fontstyle21"/>
        </w:rPr>
        <w:t xml:space="preserve"> 2026</w:t>
      </w:r>
    </w:p>
    <w:p w14:paraId="4D4A84DB" w14:textId="77777777" w:rsidR="001509E9" w:rsidRDefault="001509E9" w:rsidP="00A710E8">
      <w:pPr>
        <w:ind w:left="708"/>
        <w:rPr>
          <w:rStyle w:val="fontstyle01"/>
        </w:rPr>
      </w:pPr>
    </w:p>
    <w:p w14:paraId="6F3EF26B" w14:textId="460BC85B" w:rsidR="001509E9" w:rsidRDefault="00E402EF" w:rsidP="004D7124">
      <w:pPr>
        <w:rPr>
          <w:rStyle w:val="fontstyle01"/>
        </w:rPr>
      </w:pPr>
      <w:r>
        <w:rPr>
          <w:noProof/>
          <w:lang w:eastAsia="cs-CZ"/>
        </w:rPr>
        <w:drawing>
          <wp:inline distT="0" distB="0" distL="0" distR="0" wp14:anchorId="4D12201A" wp14:editId="0C2E8C52">
            <wp:extent cx="5760720" cy="3272155"/>
            <wp:effectExtent l="0" t="0" r="11430" b="4445"/>
            <wp:docPr id="1273808686" name="Graf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ADDF900-19FF-87EC-B4F2-D769A086BE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E4AE83A" w14:textId="77777777" w:rsidR="001509E9" w:rsidRDefault="001509E9" w:rsidP="00A710E8">
      <w:pPr>
        <w:ind w:left="708"/>
        <w:rPr>
          <w:rStyle w:val="fontstyle01"/>
        </w:rPr>
      </w:pPr>
    </w:p>
    <w:p w14:paraId="70C726D2" w14:textId="2EB6B0B3" w:rsidR="00A710E8" w:rsidRDefault="00866754" w:rsidP="00A710E8">
      <w:pPr>
        <w:ind w:left="708"/>
        <w:rPr>
          <w:rStyle w:val="fontstyle01"/>
        </w:rPr>
      </w:pPr>
      <w:r>
        <w:rPr>
          <w:rStyle w:val="fontstyle01"/>
        </w:rPr>
        <w:t>III. Doporučení</w:t>
      </w:r>
    </w:p>
    <w:p w14:paraId="25FFDFE4" w14:textId="77777777" w:rsidR="007A4B9C" w:rsidRDefault="007A4B9C" w:rsidP="00A710E8">
      <w:pPr>
        <w:ind w:left="708"/>
        <w:rPr>
          <w:rStyle w:val="fontstyle01"/>
        </w:rPr>
      </w:pPr>
    </w:p>
    <w:p w14:paraId="023EB3EC" w14:textId="074A9F79" w:rsidR="003E2F86" w:rsidRDefault="00427794" w:rsidP="003E2F86">
      <w:pPr>
        <w:jc w:val="both"/>
        <w:rPr>
          <w:rStyle w:val="fontstyle21"/>
        </w:rPr>
      </w:pPr>
      <w:r>
        <w:rPr>
          <w:rStyle w:val="fontstyle21"/>
        </w:rPr>
        <w:t>P</w:t>
      </w:r>
      <w:r w:rsidR="00866754">
        <w:rPr>
          <w:rStyle w:val="fontstyle21"/>
        </w:rPr>
        <w:t xml:space="preserve">ro schválení rozpočtu </w:t>
      </w:r>
      <w:r w:rsidR="009A11C4">
        <w:rPr>
          <w:rStyle w:val="fontstyle21"/>
        </w:rPr>
        <w:t>obce Lenešice</w:t>
      </w:r>
      <w:r w:rsidR="00866754">
        <w:rPr>
          <w:rStyle w:val="fontstyle21"/>
        </w:rPr>
        <w:t xml:space="preserve"> navrhujeme členění rozpočtu obce – viz „Návrh rozpočtu</w:t>
      </w:r>
      <w:r w:rsidR="009A11C4">
        <w:rPr>
          <w:rStyle w:val="fontstyle21"/>
        </w:rPr>
        <w:t xml:space="preserve"> Obce Lenešice</w:t>
      </w:r>
      <w:r w:rsidR="00866754">
        <w:rPr>
          <w:rStyle w:val="fontstyle21"/>
        </w:rPr>
        <w:t xml:space="preserve"> na rok 202</w:t>
      </w:r>
      <w:r w:rsidR="003A29C3">
        <w:rPr>
          <w:rStyle w:val="fontstyle21"/>
        </w:rPr>
        <w:t>6</w:t>
      </w:r>
      <w:r w:rsidR="00866754">
        <w:rPr>
          <w:rStyle w:val="fontstyle21"/>
        </w:rPr>
        <w:t>“ Detailní položkové členění je k dispozici na veřejně dostupných</w:t>
      </w:r>
      <w:r w:rsidR="009A11C4">
        <w:rPr>
          <w:rStyle w:val="fontstyle21"/>
        </w:rPr>
        <w:t xml:space="preserve"> </w:t>
      </w:r>
      <w:r w:rsidR="00866754">
        <w:rPr>
          <w:rStyle w:val="fontstyle21"/>
        </w:rPr>
        <w:t xml:space="preserve">zdrojích (Rozklikávací rozpočet na webu </w:t>
      </w:r>
      <w:r w:rsidR="00086424">
        <w:rPr>
          <w:rStyle w:val="fontstyle21"/>
        </w:rPr>
        <w:t>obce</w:t>
      </w:r>
      <w:r w:rsidR="00866754">
        <w:rPr>
          <w:rStyle w:val="fontstyle21"/>
        </w:rPr>
        <w:t xml:space="preserve"> www.</w:t>
      </w:r>
      <w:r w:rsidR="009A11C4">
        <w:rPr>
          <w:rStyle w:val="fontstyle21"/>
        </w:rPr>
        <w:t>ou-lenesice</w:t>
      </w:r>
      <w:r w:rsidR="00866754">
        <w:rPr>
          <w:rStyle w:val="fontstyle21"/>
        </w:rPr>
        <w:t>.cz, nebo Monitoru státní</w:t>
      </w:r>
      <w:r w:rsidR="009A11C4">
        <w:rPr>
          <w:rStyle w:val="fontstyle21"/>
        </w:rPr>
        <w:t xml:space="preserve"> </w:t>
      </w:r>
      <w:r w:rsidR="00866754">
        <w:rPr>
          <w:rStyle w:val="fontstyle21"/>
        </w:rPr>
        <w:t>pokladny – www.monitor.statn</w:t>
      </w:r>
      <w:r w:rsidR="009F57D2">
        <w:rPr>
          <w:rStyle w:val="fontstyle21"/>
        </w:rPr>
        <w:t xml:space="preserve">ipokladna.cz). </w:t>
      </w:r>
      <w:bookmarkStart w:id="0" w:name="_GoBack"/>
      <w:bookmarkEnd w:id="0"/>
    </w:p>
    <w:p w14:paraId="4245F7B7" w14:textId="76F1828B" w:rsidR="0026706D" w:rsidRDefault="000801CF" w:rsidP="003E2F86">
      <w:pPr>
        <w:rPr>
          <w:rStyle w:val="fontstyle21"/>
        </w:rPr>
      </w:pPr>
      <w:r>
        <w:rPr>
          <w:rStyle w:val="fontstyle21"/>
        </w:rPr>
        <w:t>Po</w:t>
      </w:r>
      <w:r w:rsidR="00866754">
        <w:rPr>
          <w:rStyle w:val="fontstyle31"/>
        </w:rPr>
        <w:t>zn.: § 16 zákona č. 250/2000 Sb.:</w:t>
      </w:r>
      <w:r w:rsidR="00866754" w:rsidRPr="003528FF">
        <w:rPr>
          <w:rFonts w:ascii="Calibri-Italic" w:hAnsi="Calibri-Italic"/>
          <w:i/>
          <w:iCs/>
          <w:color w:val="000000"/>
        </w:rPr>
        <w:br/>
      </w:r>
      <w:r w:rsidR="00866754">
        <w:rPr>
          <w:rStyle w:val="fontstyle41"/>
        </w:rPr>
        <w:t>Změny rozpočtu</w:t>
      </w:r>
      <w:r w:rsidR="00866754" w:rsidRPr="003528FF">
        <w:rPr>
          <w:rFonts w:ascii="Calibri-BoldItalic" w:hAnsi="Calibri-BoldItalic"/>
          <w:b/>
          <w:bCs/>
          <w:i/>
          <w:iCs/>
          <w:color w:val="000000"/>
        </w:rPr>
        <w:br/>
      </w:r>
      <w:r w:rsidR="00866754">
        <w:rPr>
          <w:rStyle w:val="fontstyle31"/>
        </w:rPr>
        <w:t>(1) Rozpočet může být po jeho schválení změněn z důvodu:</w:t>
      </w:r>
      <w:r w:rsidR="00866754" w:rsidRPr="003528FF">
        <w:rPr>
          <w:rFonts w:ascii="Calibri-Italic" w:hAnsi="Calibri-Italic"/>
          <w:i/>
          <w:iCs/>
          <w:color w:val="000000"/>
        </w:rPr>
        <w:br/>
      </w:r>
      <w:r w:rsidR="00866754">
        <w:rPr>
          <w:rStyle w:val="fontstyle31"/>
        </w:rPr>
        <w:t>a) změny v organizaci hospodářství financovaného rozpočtem (organizační změny),</w:t>
      </w:r>
      <w:r w:rsidR="00866754" w:rsidRPr="003528FF">
        <w:rPr>
          <w:rFonts w:ascii="Calibri-Italic" w:hAnsi="Calibri-Italic"/>
          <w:i/>
          <w:iCs/>
          <w:color w:val="000000"/>
        </w:rPr>
        <w:br/>
      </w:r>
      <w:r w:rsidR="00866754">
        <w:rPr>
          <w:rStyle w:val="fontstyle31"/>
        </w:rPr>
        <w:t>b) změny právních předpisů ovlivňujících výši rozpočtovaných příjmů nebo výdajů (metodické</w:t>
      </w:r>
      <w:r w:rsidR="00866754" w:rsidRPr="003528FF">
        <w:rPr>
          <w:rFonts w:ascii="Calibri-Italic" w:hAnsi="Calibri-Italic"/>
          <w:i/>
          <w:iCs/>
          <w:color w:val="000000"/>
        </w:rPr>
        <w:br/>
      </w:r>
      <w:r w:rsidR="00866754">
        <w:rPr>
          <w:rStyle w:val="fontstyle31"/>
        </w:rPr>
        <w:t>změny); patří mezi ně také cenové změny ovlivněné změnami právní úpravy regulovaných cen,</w:t>
      </w:r>
      <w:r w:rsidR="00866754" w:rsidRPr="003528FF">
        <w:rPr>
          <w:rFonts w:ascii="Calibri-Italic" w:hAnsi="Calibri-Italic"/>
          <w:i/>
          <w:iCs/>
          <w:color w:val="000000"/>
        </w:rPr>
        <w:br/>
      </w:r>
      <w:r w:rsidR="00866754">
        <w:rPr>
          <w:rStyle w:val="fontstyle31"/>
        </w:rPr>
        <w:t>nebo</w:t>
      </w:r>
      <w:r w:rsidR="00866754" w:rsidRPr="003528FF">
        <w:rPr>
          <w:rFonts w:ascii="Calibri-Italic" w:hAnsi="Calibri-Italic"/>
          <w:i/>
          <w:iCs/>
          <w:color w:val="000000"/>
        </w:rPr>
        <w:br/>
      </w:r>
      <w:r w:rsidR="00866754">
        <w:rPr>
          <w:rStyle w:val="fontstyle31"/>
        </w:rPr>
        <w:t>c) změny objektivně působících skutečností ovlivňujících plnění rozpočtu příjmů či výdaje (věcné</w:t>
      </w:r>
      <w:r w:rsidR="00866754" w:rsidRPr="003528FF">
        <w:rPr>
          <w:rFonts w:ascii="Calibri-Italic" w:hAnsi="Calibri-Italic"/>
          <w:i/>
          <w:iCs/>
          <w:color w:val="000000"/>
        </w:rPr>
        <w:br/>
      </w:r>
      <w:r w:rsidR="00866754">
        <w:rPr>
          <w:rStyle w:val="fontstyle31"/>
        </w:rPr>
        <w:t>změny).</w:t>
      </w:r>
      <w:r w:rsidR="00866754" w:rsidRPr="003528FF">
        <w:rPr>
          <w:rFonts w:ascii="Calibri-Italic" w:hAnsi="Calibri-Italic"/>
          <w:i/>
          <w:iCs/>
          <w:color w:val="000000"/>
        </w:rPr>
        <w:br/>
      </w:r>
      <w:r w:rsidR="00866754">
        <w:rPr>
          <w:rStyle w:val="fontstyle31"/>
        </w:rPr>
        <w:t>(2) Změna rozpočtu se provádí rozpočtovým opatřením. Rozpočtová opatření se evidují podle</w:t>
      </w:r>
      <w:r w:rsidR="00866754" w:rsidRPr="003528FF">
        <w:rPr>
          <w:rFonts w:ascii="Calibri-Italic" w:hAnsi="Calibri-Italic"/>
          <w:i/>
          <w:iCs/>
          <w:color w:val="000000"/>
        </w:rPr>
        <w:br/>
      </w:r>
      <w:r w:rsidR="00866754">
        <w:rPr>
          <w:rStyle w:val="fontstyle31"/>
        </w:rPr>
        <w:t>časové posloupnosti. Rozpočtová opatření se uskutečňují povinně, a to i jde-li o změny ve</w:t>
      </w:r>
      <w:r w:rsidR="00866754" w:rsidRPr="003528FF">
        <w:rPr>
          <w:rFonts w:ascii="Calibri-Italic" w:hAnsi="Calibri-Italic"/>
          <w:i/>
          <w:iCs/>
          <w:color w:val="000000"/>
        </w:rPr>
        <w:br/>
      </w:r>
      <w:r w:rsidR="00866754">
        <w:rPr>
          <w:rStyle w:val="fontstyle31"/>
        </w:rPr>
        <w:t>finančních vztazích k jinému rozpočtu, o změny závazných ukazatelů vůči jiným osobám, nebo</w:t>
      </w:r>
      <w:r w:rsidR="00866754" w:rsidRPr="003528FF">
        <w:rPr>
          <w:rFonts w:ascii="Calibri-Italic" w:hAnsi="Calibri-Italic"/>
          <w:i/>
          <w:iCs/>
          <w:color w:val="000000"/>
        </w:rPr>
        <w:br/>
      </w:r>
      <w:r w:rsidR="00866754">
        <w:rPr>
          <w:rStyle w:val="fontstyle31"/>
        </w:rPr>
        <w:lastRenderedPageBreak/>
        <w:t>jestliže hrozí nebezpečí vzniku rozpočtového schodku.</w:t>
      </w:r>
      <w:r w:rsidR="00866754" w:rsidRPr="003528FF">
        <w:rPr>
          <w:rFonts w:ascii="Calibri-Italic" w:hAnsi="Calibri-Italic"/>
          <w:i/>
          <w:iCs/>
          <w:color w:val="000000"/>
        </w:rPr>
        <w:br/>
      </w:r>
      <w:r w:rsidR="00866754">
        <w:rPr>
          <w:rStyle w:val="fontstyle31"/>
        </w:rPr>
        <w:t>(3) Rozpočtovým opatřením je:</w:t>
      </w:r>
      <w:r w:rsidR="00866754" w:rsidRPr="003528FF">
        <w:rPr>
          <w:rFonts w:ascii="Calibri-Italic" w:hAnsi="Calibri-Italic"/>
          <w:i/>
          <w:iCs/>
          <w:color w:val="000000"/>
        </w:rPr>
        <w:br/>
      </w:r>
      <w:r w:rsidR="00866754">
        <w:rPr>
          <w:rStyle w:val="fontstyle31"/>
        </w:rPr>
        <w:t>a) přesun rozpočtových prostředků, při němž se jednotlivé příjmy nebo výdaje navzájem</w:t>
      </w:r>
      <w:r w:rsidR="00866754" w:rsidRPr="003528FF">
        <w:rPr>
          <w:rFonts w:ascii="Calibri-Italic" w:hAnsi="Calibri-Italic"/>
          <w:i/>
          <w:iCs/>
          <w:color w:val="000000"/>
        </w:rPr>
        <w:br/>
      </w:r>
      <w:r w:rsidR="00866754">
        <w:rPr>
          <w:rStyle w:val="fontstyle31"/>
        </w:rPr>
        <w:t>ovlivňují, aniž by se změnil jejich celkový objem nebo schválený rozdíl celkových příjmů</w:t>
      </w:r>
      <w:r w:rsidR="00866754" w:rsidRPr="003528FF">
        <w:rPr>
          <w:rFonts w:ascii="Calibri-Italic" w:hAnsi="Calibri-Italic"/>
          <w:i/>
          <w:iCs/>
          <w:color w:val="000000"/>
        </w:rPr>
        <w:br/>
      </w:r>
      <w:r w:rsidR="00866754">
        <w:rPr>
          <w:rStyle w:val="fontstyle31"/>
        </w:rPr>
        <w:t>a výdajů,</w:t>
      </w:r>
      <w:r w:rsidR="00866754" w:rsidRPr="003528FF">
        <w:rPr>
          <w:rFonts w:ascii="Calibri-Italic" w:hAnsi="Calibri-Italic"/>
          <w:i/>
          <w:iCs/>
          <w:color w:val="000000"/>
        </w:rPr>
        <w:br/>
      </w:r>
      <w:r w:rsidR="00866754">
        <w:rPr>
          <w:rStyle w:val="fontstyle31"/>
        </w:rPr>
        <w:t>b) použití nových, rozpočtem nepředvídaných příjmů k úhradě nových, rozpočtem</w:t>
      </w:r>
      <w:r w:rsidR="00866754" w:rsidRPr="003528FF">
        <w:rPr>
          <w:rFonts w:ascii="Calibri-Italic" w:hAnsi="Calibri-Italic"/>
          <w:i/>
          <w:iCs/>
          <w:color w:val="000000"/>
        </w:rPr>
        <w:br/>
      </w:r>
      <w:r w:rsidR="00866754">
        <w:rPr>
          <w:rStyle w:val="fontstyle31"/>
        </w:rPr>
        <w:t>nezajištěných výdajů, čímž se zvýší celkový objem rozpočtu,</w:t>
      </w:r>
      <w:r w:rsidR="00866754" w:rsidRPr="003528FF">
        <w:rPr>
          <w:rFonts w:ascii="Calibri-Italic" w:hAnsi="Calibri-Italic"/>
          <w:i/>
          <w:iCs/>
          <w:color w:val="000000"/>
        </w:rPr>
        <w:br/>
      </w:r>
      <w:r w:rsidR="00866754">
        <w:rPr>
          <w:rStyle w:val="fontstyle31"/>
        </w:rPr>
        <w:t>c) vázání rozpočtových výdajů, jestliže je jejich krytí ohroženo neplněním rozpočtových příjmů;</w:t>
      </w:r>
      <w:r w:rsidR="00866754" w:rsidRPr="003528FF">
        <w:rPr>
          <w:rFonts w:ascii="Calibri-Italic" w:hAnsi="Calibri-Italic"/>
          <w:i/>
          <w:iCs/>
          <w:color w:val="000000"/>
        </w:rPr>
        <w:br/>
      </w:r>
      <w:r w:rsidR="00866754">
        <w:rPr>
          <w:rStyle w:val="fontstyle31"/>
        </w:rPr>
        <w:t>tímto opatřením se objem rozpočtu snižuje.</w:t>
      </w:r>
      <w:r w:rsidR="00866754" w:rsidRPr="003528FF">
        <w:rPr>
          <w:rFonts w:ascii="Calibri-Italic" w:hAnsi="Calibri-Italic"/>
          <w:i/>
          <w:iCs/>
          <w:color w:val="000000"/>
        </w:rPr>
        <w:br/>
      </w:r>
      <w:r w:rsidR="00866754">
        <w:rPr>
          <w:rStyle w:val="fontstyle31"/>
        </w:rPr>
        <w:t xml:space="preserve">(4) Rozpočtové opatření se provádí </w:t>
      </w:r>
      <w:r w:rsidR="00866754">
        <w:rPr>
          <w:rStyle w:val="fontstyle41"/>
        </w:rPr>
        <w:t xml:space="preserve">před </w:t>
      </w:r>
      <w:r w:rsidR="00866754">
        <w:rPr>
          <w:rStyle w:val="fontstyle31"/>
        </w:rPr>
        <w:t>provedením rozpočtově nezajištěného výdaje. Po</w:t>
      </w:r>
      <w:r w:rsidR="00866754" w:rsidRPr="003528FF">
        <w:rPr>
          <w:rFonts w:ascii="Calibri-Italic" w:hAnsi="Calibri-Italic"/>
          <w:i/>
          <w:iCs/>
          <w:color w:val="000000"/>
        </w:rPr>
        <w:br/>
      </w:r>
      <w:r w:rsidR="00866754">
        <w:rPr>
          <w:rStyle w:val="fontstyle31"/>
        </w:rPr>
        <w:t>provedení rozpočtově nezajištěného výdaje lze rozpočtové opatření provést pouze při živelní</w:t>
      </w:r>
      <w:r w:rsidR="00866754" w:rsidRPr="003528FF">
        <w:rPr>
          <w:rFonts w:ascii="Calibri-Italic" w:hAnsi="Calibri-Italic"/>
          <w:i/>
          <w:iCs/>
          <w:color w:val="000000"/>
        </w:rPr>
        <w:br/>
      </w:r>
      <w:r w:rsidR="00866754">
        <w:rPr>
          <w:rStyle w:val="fontstyle31"/>
        </w:rPr>
        <w:t>pohromě nebo havárii ohrožující životy a majetek, při plnění peněžní povinnosti uložené</w:t>
      </w:r>
      <w:r w:rsidR="00866754">
        <w:br/>
      </w:r>
      <w:r w:rsidR="00866754">
        <w:rPr>
          <w:rStyle w:val="fontstyle31"/>
        </w:rPr>
        <w:t>pravomocným rozhodnutím při obdržení dotace před koncem kalendářního roku, nebo pokud</w:t>
      </w:r>
      <w:r w:rsidR="00866754" w:rsidRPr="003528FF">
        <w:rPr>
          <w:rFonts w:ascii="Calibri-Italic" w:hAnsi="Calibri-Italic"/>
          <w:i/>
          <w:iCs/>
          <w:color w:val="000000"/>
        </w:rPr>
        <w:br/>
      </w:r>
      <w:r w:rsidR="00866754">
        <w:rPr>
          <w:rStyle w:val="fontstyle31"/>
        </w:rPr>
        <w:t>se jedná o finanční prostředky podle § 28 odst. 12.</w:t>
      </w:r>
      <w:r w:rsidR="00866754" w:rsidRPr="003528FF">
        <w:rPr>
          <w:rFonts w:ascii="Calibri-Italic" w:hAnsi="Calibri-Italic"/>
          <w:i/>
          <w:iCs/>
          <w:color w:val="000000"/>
        </w:rPr>
        <w:br/>
      </w:r>
      <w:r w:rsidR="00866754">
        <w:rPr>
          <w:rStyle w:val="fontstyle31"/>
        </w:rPr>
        <w:t>(5) Schválené rozpočtové opatření se zveřejňuje podle § 11 odst. 4, § 11 a odst. 4 a § 39 odst.</w:t>
      </w:r>
      <w:r w:rsidR="00866754" w:rsidRPr="003528FF">
        <w:rPr>
          <w:rFonts w:ascii="Calibri-Italic" w:hAnsi="Calibri-Italic"/>
          <w:i/>
          <w:iCs/>
          <w:color w:val="000000"/>
        </w:rPr>
        <w:br/>
      </w:r>
      <w:r w:rsidR="00866754">
        <w:rPr>
          <w:rStyle w:val="fontstyle31"/>
        </w:rPr>
        <w:t>7. obdobně.</w:t>
      </w:r>
      <w:r w:rsidR="00866754" w:rsidRPr="003528FF">
        <w:rPr>
          <w:rFonts w:ascii="Calibri-Italic" w:hAnsi="Calibri-Italic"/>
          <w:i/>
          <w:iCs/>
          <w:color w:val="000000"/>
        </w:rPr>
        <w:br/>
      </w:r>
      <w:r w:rsidR="00866754">
        <w:rPr>
          <w:rStyle w:val="fontstyle21"/>
        </w:rPr>
        <w:t>Zpracoval</w:t>
      </w:r>
      <w:r w:rsidR="00FC3247">
        <w:rPr>
          <w:rStyle w:val="fontstyle21"/>
        </w:rPr>
        <w:t>i</w:t>
      </w:r>
      <w:r w:rsidR="00866754">
        <w:rPr>
          <w:rStyle w:val="fontstyle21"/>
        </w:rPr>
        <w:t>:</w:t>
      </w:r>
      <w:r>
        <w:rPr>
          <w:rStyle w:val="fontstyle21"/>
        </w:rPr>
        <w:tab/>
      </w:r>
      <w:r w:rsidR="00EB728B">
        <w:rPr>
          <w:rStyle w:val="fontstyle21"/>
        </w:rPr>
        <w:t xml:space="preserve"> I</w:t>
      </w:r>
      <w:r w:rsidR="00866754">
        <w:rPr>
          <w:rStyle w:val="fontstyle21"/>
        </w:rPr>
        <w:t xml:space="preserve">ng. </w:t>
      </w:r>
      <w:r w:rsidR="00E13703">
        <w:rPr>
          <w:rStyle w:val="fontstyle21"/>
        </w:rPr>
        <w:t>Zdeněk Plaček</w:t>
      </w:r>
      <w:r w:rsidR="00866754">
        <w:rPr>
          <w:rStyle w:val="fontstyle21"/>
        </w:rPr>
        <w:t xml:space="preserve">, </w:t>
      </w:r>
      <w:r w:rsidR="00FC3247">
        <w:rPr>
          <w:rStyle w:val="fontstyle21"/>
        </w:rPr>
        <w:t xml:space="preserve">starosta </w:t>
      </w:r>
      <w:r w:rsidR="009B5CEC">
        <w:rPr>
          <w:rStyle w:val="fontstyle21"/>
        </w:rPr>
        <w:t>o</w:t>
      </w:r>
      <w:r w:rsidR="00FC3247">
        <w:rPr>
          <w:rStyle w:val="fontstyle21"/>
        </w:rPr>
        <w:t>bce Lenešice</w:t>
      </w:r>
    </w:p>
    <w:p w14:paraId="4D3C750A" w14:textId="24126B5E" w:rsidR="00FF23B0" w:rsidRPr="00A710E8" w:rsidRDefault="00FC3247" w:rsidP="000801CF">
      <w:pPr>
        <w:ind w:left="708" w:firstLine="708"/>
        <w:rPr>
          <w:rFonts w:ascii="Calibri-Bold" w:hAnsi="Calibri-Bold"/>
          <w:b/>
          <w:bCs/>
          <w:color w:val="000000"/>
          <w:sz w:val="28"/>
          <w:szCs w:val="28"/>
        </w:rPr>
      </w:pPr>
      <w:r>
        <w:rPr>
          <w:rStyle w:val="fontstyle21"/>
        </w:rPr>
        <w:t xml:space="preserve">Bohumila Mazáková, </w:t>
      </w:r>
      <w:r w:rsidR="0026706D">
        <w:rPr>
          <w:rStyle w:val="fontstyle21"/>
        </w:rPr>
        <w:t xml:space="preserve">účetní </w:t>
      </w:r>
      <w:r w:rsidR="000801CF">
        <w:rPr>
          <w:rStyle w:val="fontstyle21"/>
        </w:rPr>
        <w:t>Obce Lenešice</w:t>
      </w:r>
    </w:p>
    <w:sectPr w:rsidR="00FF23B0" w:rsidRPr="00A71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Calibri-BoldItalic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A123C"/>
    <w:multiLevelType w:val="hybridMultilevel"/>
    <w:tmpl w:val="46A0FF74"/>
    <w:lvl w:ilvl="0" w:tplc="5DEA4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B2FA9"/>
    <w:multiLevelType w:val="hybridMultilevel"/>
    <w:tmpl w:val="4596F36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754"/>
    <w:rsid w:val="000013E4"/>
    <w:rsid w:val="00011C79"/>
    <w:rsid w:val="000155F9"/>
    <w:rsid w:val="00015F4E"/>
    <w:rsid w:val="00022D62"/>
    <w:rsid w:val="00037E8E"/>
    <w:rsid w:val="00055C22"/>
    <w:rsid w:val="00064AA5"/>
    <w:rsid w:val="00070D9B"/>
    <w:rsid w:val="000801CF"/>
    <w:rsid w:val="00086424"/>
    <w:rsid w:val="000B2A0E"/>
    <w:rsid w:val="000C2F67"/>
    <w:rsid w:val="00113820"/>
    <w:rsid w:val="0012247B"/>
    <w:rsid w:val="001326B4"/>
    <w:rsid w:val="00147F5B"/>
    <w:rsid w:val="001509E9"/>
    <w:rsid w:val="001519E4"/>
    <w:rsid w:val="00170461"/>
    <w:rsid w:val="001937F7"/>
    <w:rsid w:val="001A37E2"/>
    <w:rsid w:val="001B3745"/>
    <w:rsid w:val="001B6AC2"/>
    <w:rsid w:val="001C734E"/>
    <w:rsid w:val="001D3B0A"/>
    <w:rsid w:val="001D7CF5"/>
    <w:rsid w:val="001F4D0D"/>
    <w:rsid w:val="00216888"/>
    <w:rsid w:val="002200AA"/>
    <w:rsid w:val="002354B1"/>
    <w:rsid w:val="00236570"/>
    <w:rsid w:val="00245168"/>
    <w:rsid w:val="00250005"/>
    <w:rsid w:val="0026706D"/>
    <w:rsid w:val="00275CF3"/>
    <w:rsid w:val="00276590"/>
    <w:rsid w:val="00294421"/>
    <w:rsid w:val="002A0862"/>
    <w:rsid w:val="002A7E7F"/>
    <w:rsid w:val="002C4FD4"/>
    <w:rsid w:val="002D4B91"/>
    <w:rsid w:val="002E0AF1"/>
    <w:rsid w:val="002E7F0D"/>
    <w:rsid w:val="00301A98"/>
    <w:rsid w:val="00325E56"/>
    <w:rsid w:val="003528FF"/>
    <w:rsid w:val="003753C5"/>
    <w:rsid w:val="003827C4"/>
    <w:rsid w:val="003A29C3"/>
    <w:rsid w:val="003A34DB"/>
    <w:rsid w:val="003C0F21"/>
    <w:rsid w:val="003C760B"/>
    <w:rsid w:val="003E2F86"/>
    <w:rsid w:val="003F3BA9"/>
    <w:rsid w:val="0041700C"/>
    <w:rsid w:val="00426F81"/>
    <w:rsid w:val="00427794"/>
    <w:rsid w:val="00441009"/>
    <w:rsid w:val="004434B7"/>
    <w:rsid w:val="00456CD0"/>
    <w:rsid w:val="00486123"/>
    <w:rsid w:val="0049568F"/>
    <w:rsid w:val="004A5444"/>
    <w:rsid w:val="004C2C3F"/>
    <w:rsid w:val="004C727C"/>
    <w:rsid w:val="004D273F"/>
    <w:rsid w:val="004D7124"/>
    <w:rsid w:val="004E67CF"/>
    <w:rsid w:val="005226EF"/>
    <w:rsid w:val="00526862"/>
    <w:rsid w:val="0053095A"/>
    <w:rsid w:val="00540171"/>
    <w:rsid w:val="0056439D"/>
    <w:rsid w:val="00570535"/>
    <w:rsid w:val="0058074C"/>
    <w:rsid w:val="005945B0"/>
    <w:rsid w:val="00596D45"/>
    <w:rsid w:val="005B715A"/>
    <w:rsid w:val="005E4C7E"/>
    <w:rsid w:val="0060186B"/>
    <w:rsid w:val="00630D4F"/>
    <w:rsid w:val="006458BF"/>
    <w:rsid w:val="0065402A"/>
    <w:rsid w:val="00654FE6"/>
    <w:rsid w:val="00657332"/>
    <w:rsid w:val="00663493"/>
    <w:rsid w:val="00681DA5"/>
    <w:rsid w:val="00685E70"/>
    <w:rsid w:val="006A56DA"/>
    <w:rsid w:val="006B300E"/>
    <w:rsid w:val="006D44DC"/>
    <w:rsid w:val="006D4D54"/>
    <w:rsid w:val="006E7683"/>
    <w:rsid w:val="0070525A"/>
    <w:rsid w:val="00710007"/>
    <w:rsid w:val="00737B62"/>
    <w:rsid w:val="007639AD"/>
    <w:rsid w:val="00771F21"/>
    <w:rsid w:val="007833F5"/>
    <w:rsid w:val="007A4B9C"/>
    <w:rsid w:val="007B2843"/>
    <w:rsid w:val="007B3DAA"/>
    <w:rsid w:val="007C19A4"/>
    <w:rsid w:val="007C1ADD"/>
    <w:rsid w:val="007C6441"/>
    <w:rsid w:val="007C70CC"/>
    <w:rsid w:val="007F2818"/>
    <w:rsid w:val="007F7318"/>
    <w:rsid w:val="00850427"/>
    <w:rsid w:val="008565BC"/>
    <w:rsid w:val="00866754"/>
    <w:rsid w:val="008C56FB"/>
    <w:rsid w:val="0091092D"/>
    <w:rsid w:val="0091333A"/>
    <w:rsid w:val="009133CB"/>
    <w:rsid w:val="00916A55"/>
    <w:rsid w:val="00920C7C"/>
    <w:rsid w:val="0092470B"/>
    <w:rsid w:val="0093021D"/>
    <w:rsid w:val="00932473"/>
    <w:rsid w:val="00936732"/>
    <w:rsid w:val="00945A31"/>
    <w:rsid w:val="00950661"/>
    <w:rsid w:val="00963C89"/>
    <w:rsid w:val="00976CC7"/>
    <w:rsid w:val="009847B5"/>
    <w:rsid w:val="00991042"/>
    <w:rsid w:val="009A11C4"/>
    <w:rsid w:val="009A23C2"/>
    <w:rsid w:val="009A288D"/>
    <w:rsid w:val="009B5CEC"/>
    <w:rsid w:val="009C3220"/>
    <w:rsid w:val="009D7AD0"/>
    <w:rsid w:val="009F0F43"/>
    <w:rsid w:val="009F57D2"/>
    <w:rsid w:val="00A03413"/>
    <w:rsid w:val="00A323BA"/>
    <w:rsid w:val="00A356D4"/>
    <w:rsid w:val="00A35AA1"/>
    <w:rsid w:val="00A44692"/>
    <w:rsid w:val="00A6585A"/>
    <w:rsid w:val="00A710E8"/>
    <w:rsid w:val="00A73F05"/>
    <w:rsid w:val="00A86106"/>
    <w:rsid w:val="00AA0FB5"/>
    <w:rsid w:val="00AA28DC"/>
    <w:rsid w:val="00AD0718"/>
    <w:rsid w:val="00AE4ADA"/>
    <w:rsid w:val="00B02E6F"/>
    <w:rsid w:val="00B12F40"/>
    <w:rsid w:val="00B17665"/>
    <w:rsid w:val="00B30DA3"/>
    <w:rsid w:val="00B54F0E"/>
    <w:rsid w:val="00B66524"/>
    <w:rsid w:val="00B6653D"/>
    <w:rsid w:val="00B80C51"/>
    <w:rsid w:val="00B85629"/>
    <w:rsid w:val="00B92DE4"/>
    <w:rsid w:val="00BA4657"/>
    <w:rsid w:val="00BD0CEF"/>
    <w:rsid w:val="00BE07C4"/>
    <w:rsid w:val="00BE20CC"/>
    <w:rsid w:val="00BF5787"/>
    <w:rsid w:val="00C23092"/>
    <w:rsid w:val="00C2445A"/>
    <w:rsid w:val="00C26844"/>
    <w:rsid w:val="00C355AE"/>
    <w:rsid w:val="00C574D8"/>
    <w:rsid w:val="00C648A0"/>
    <w:rsid w:val="00C723A6"/>
    <w:rsid w:val="00C7643E"/>
    <w:rsid w:val="00CA3D9E"/>
    <w:rsid w:val="00CA5398"/>
    <w:rsid w:val="00CA73E9"/>
    <w:rsid w:val="00CB2772"/>
    <w:rsid w:val="00CB3CBA"/>
    <w:rsid w:val="00CC792E"/>
    <w:rsid w:val="00CC7BE8"/>
    <w:rsid w:val="00CD05E6"/>
    <w:rsid w:val="00CE3F4A"/>
    <w:rsid w:val="00D0065C"/>
    <w:rsid w:val="00D16994"/>
    <w:rsid w:val="00D23D98"/>
    <w:rsid w:val="00D641B3"/>
    <w:rsid w:val="00D71D13"/>
    <w:rsid w:val="00DB2183"/>
    <w:rsid w:val="00DB684F"/>
    <w:rsid w:val="00DD2986"/>
    <w:rsid w:val="00DE4302"/>
    <w:rsid w:val="00E07FA2"/>
    <w:rsid w:val="00E13703"/>
    <w:rsid w:val="00E22622"/>
    <w:rsid w:val="00E27FAB"/>
    <w:rsid w:val="00E31352"/>
    <w:rsid w:val="00E31D6A"/>
    <w:rsid w:val="00E35E2E"/>
    <w:rsid w:val="00E402EF"/>
    <w:rsid w:val="00E57B00"/>
    <w:rsid w:val="00E651DB"/>
    <w:rsid w:val="00E95F35"/>
    <w:rsid w:val="00EA39EE"/>
    <w:rsid w:val="00EB728B"/>
    <w:rsid w:val="00EB78C7"/>
    <w:rsid w:val="00EC3333"/>
    <w:rsid w:val="00F03872"/>
    <w:rsid w:val="00F13D3D"/>
    <w:rsid w:val="00F612AA"/>
    <w:rsid w:val="00F63EB6"/>
    <w:rsid w:val="00F664B1"/>
    <w:rsid w:val="00F848A7"/>
    <w:rsid w:val="00F9144C"/>
    <w:rsid w:val="00FB5451"/>
    <w:rsid w:val="00FC3247"/>
    <w:rsid w:val="00FD2898"/>
    <w:rsid w:val="00FE548A"/>
    <w:rsid w:val="00FF06C6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38E4C"/>
  <w15:chartTrackingRefBased/>
  <w15:docId w15:val="{8DEA0884-0F0E-4C3C-A986-394A4997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866754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Standardnpsmoodstavce"/>
    <w:rsid w:val="00866754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Standardnpsmoodstavce"/>
    <w:rsid w:val="00866754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Standardnpsmoodstavce"/>
    <w:rsid w:val="00866754"/>
    <w:rPr>
      <w:rFonts w:ascii="Calibri-BoldItalic" w:hAnsi="Calibri-BoldItalic" w:hint="default"/>
      <w:b/>
      <w:bCs/>
      <w:i/>
      <w:iCs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85629"/>
    <w:pPr>
      <w:ind w:left="720"/>
      <w:contextualSpacing/>
    </w:pPr>
  </w:style>
  <w:style w:type="paragraph" w:styleId="Bezmezer">
    <w:name w:val="No Spacing"/>
    <w:uiPriority w:val="1"/>
    <w:qFormat/>
    <w:rsid w:val="003528F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5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4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plac\Documents\rozpo&#269;et\rozpocet_tabulka_2025.od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plac\Documents\rozpo&#269;et\rozpocet_tabulka_2025.od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9"/>
      <c:rotY val="185"/>
      <c:rAngAx val="0"/>
    </c:view3D>
    <c:floor>
      <c:thickness val="0"/>
      <c:spPr>
        <a:noFill/>
        <a:ln>
          <a:noFill/>
        </a:ln>
      </c:spPr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>
        <c:manualLayout>
          <c:xMode val="edge"/>
          <c:yMode val="edge"/>
          <c:x val="6.1110961129858768E-2"/>
          <c:y val="0.18097222222222223"/>
          <c:w val="0.93888883889513808"/>
          <c:h val="0.60027631962671335"/>
        </c:manualLayout>
      </c:layout>
      <c:pie3DChart>
        <c:varyColors val="1"/>
        <c:ser>
          <c:idx val="0"/>
          <c:order val="0"/>
          <c:explosion val="12"/>
          <c:dPt>
            <c:idx val="0"/>
            <c:bubble3D val="0"/>
            <c:spPr>
              <a:solidFill>
                <a:srgbClr val="156082"/>
              </a:solidFill>
              <a:ln w="25402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956-45D1-8614-094A8EFF0A82}"/>
              </c:ext>
            </c:extLst>
          </c:dPt>
          <c:dPt>
            <c:idx val="1"/>
            <c:bubble3D val="0"/>
            <c:spPr>
              <a:solidFill>
                <a:srgbClr val="E97132"/>
              </a:solidFill>
              <a:ln w="25402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956-45D1-8614-094A8EFF0A82}"/>
              </c:ext>
            </c:extLst>
          </c:dPt>
          <c:dPt>
            <c:idx val="2"/>
            <c:bubble3D val="0"/>
            <c:spPr>
              <a:solidFill>
                <a:srgbClr val="196B24"/>
              </a:solidFill>
              <a:ln w="25402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956-45D1-8614-094A8EFF0A82}"/>
              </c:ext>
            </c:extLst>
          </c:dPt>
          <c:dPt>
            <c:idx val="3"/>
            <c:bubble3D val="0"/>
            <c:spPr>
              <a:solidFill>
                <a:srgbClr val="0F9ED5"/>
              </a:solidFill>
              <a:ln w="25402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956-45D1-8614-094A8EFF0A82}"/>
              </c:ext>
            </c:extLst>
          </c:dPt>
          <c:dLbls>
            <c:dLbl>
              <c:idx val="0"/>
              <c:layout>
                <c:manualLayout>
                  <c:x val="0.26968928883889515"/>
                  <c:y val="-3.6515201224846916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lIns="0" tIns="0" rIns="0" bIns="0"/>
                <a:lstStyle/>
                <a:p>
                  <a:pPr marL="0" marR="0" indent="0" algn="ctr" defTabSz="914400" fontAlgn="auto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tabLst/>
                    <a:defRPr sz="900" b="0" i="0" u="none" strike="noStrike" kern="1200" baseline="0">
                      <a:solidFill>
                        <a:srgbClr val="404040"/>
                      </a:solidFill>
                      <a:latin typeface="Aptos Narrow"/>
                    </a:defRPr>
                  </a:pPr>
                  <a:endParaRPr lang="cs-CZ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956-45D1-8614-094A8EFF0A82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51169523809523809"/>
                      <c:h val="0.15256962671332747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7.0393200849893089E-3"/>
                  <c:y val="2.894666812481772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956-45D1-8614-094A8EFF0A82}"/>
                </c:ext>
                <c:ext xmlns:c15="http://schemas.microsoft.com/office/drawing/2012/chart" uri="{CE6537A1-D6FC-4f65-9D91-7224C49458BB}">
                  <c15:layout>
                    <c:manualLayout>
                      <c:w val="0.25636835395575552"/>
                      <c:h val="0.1525696267133274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24403729533808272"/>
                  <c:y val="8.887977544473613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956-45D1-8614-094A8EFF0A82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4387929508811399"/>
                  <c:y val="-5.762922863808694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7956-45D1-8614-094A8EFF0A82}"/>
                </c:ext>
                <c:ext xmlns:c15="http://schemas.microsoft.com/office/drawing/2012/chart" uri="{CE6537A1-D6FC-4f65-9D91-7224C49458BB}">
                  <c15:layout>
                    <c:manualLayout>
                      <c:w val="0.24434285714285714"/>
                      <c:h val="0.15256962671332747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900" b="0" i="0" u="none" strike="noStrike" kern="1200" baseline="0">
                    <a:solidFill>
                      <a:srgbClr val="404040"/>
                    </a:solidFill>
                    <a:latin typeface="Aptos Narrow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eparator>; </c:separator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prijmy_vydaje!$F$58:$F$61</c:f>
              <c:strCache>
                <c:ptCount val="4"/>
                <c:pt idx="0">
                  <c:v>třída1 - daňové příjmy</c:v>
                </c:pt>
                <c:pt idx="1">
                  <c:v>třída 2 - nedaňové příjmy</c:v>
                </c:pt>
                <c:pt idx="2">
                  <c:v>třída 3 - kapitálové příjmy</c:v>
                </c:pt>
                <c:pt idx="3">
                  <c:v>třída 4 - přijaté transfery</c:v>
                </c:pt>
              </c:strCache>
            </c:strRef>
          </c:cat>
          <c:val>
            <c:numRef>
              <c:f>prijmy_vydaje!$G$58:$G$61</c:f>
              <c:numCache>
                <c:formatCode>" "* #\ ##0" "[$Kč]" ";"-"* #\ ##0" "[$Kč]" ";" "* "- "[$Kč]" ";" "@" "</c:formatCode>
                <c:ptCount val="4"/>
                <c:pt idx="0">
                  <c:v>36000000</c:v>
                </c:pt>
                <c:pt idx="1">
                  <c:v>2000000</c:v>
                </c:pt>
                <c:pt idx="2">
                  <c:v>0</c:v>
                </c:pt>
                <c:pt idx="3">
                  <c:v>2600000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7956-45D1-8614-094A8EFF0A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plotVisOnly val="1"/>
    <c:dispBlanksAs val="gap"/>
    <c:showDLblsOverMax val="0"/>
  </c:chart>
  <c:spPr>
    <a:solidFill>
      <a:srgbClr val="FFFFFF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cs-CZ" sz="900" b="0" i="0" u="none" strike="noStrike" kern="1200" baseline="0">
          <a:solidFill>
            <a:srgbClr val="000000"/>
          </a:solidFill>
          <a:latin typeface="Aptos Narrow"/>
        </a:defRPr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4"/>
      <c:rotY val="19"/>
      <c:rAngAx val="1"/>
    </c:view3D>
    <c:floor>
      <c:thickness val="0"/>
      <c:spPr>
        <a:noFill/>
        <a:ln>
          <a:noFill/>
        </a:ln>
      </c:spPr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rgbClr val="A6CAEC"/>
            </a:solidFill>
            <a:ln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A6CAEC"/>
              </a:solidFill>
              <a:ln w="9528">
                <a:solidFill>
                  <a:srgbClr val="A6CAEC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C64-4EFC-A3C6-28FB8771A2D9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50D3087D-B1A6-4795-8C45-C99286C5A560}" type="CELLRANGE">
                      <a:rPr lang="cs-CZ"/>
                      <a:pPr/>
                      <a:t>[OBLAST BUNĚK]</a:t>
                    </a:fld>
                    <a:r>
                      <a:rPr lang="cs-CZ" baseline="0"/>
                      <a:t>; </a:t>
                    </a:r>
                    <a:fld id="{C6812F90-9A87-40F7-AC44-D959724E5DAB}" type="VALUE">
                      <a:rPr lang="cs-CZ" baseline="0"/>
                      <a:pPr/>
                      <a:t>[HODNOTA]</a:t>
                    </a:fld>
                    <a:endParaRPr lang="cs-CZ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900" b="0" i="0" u="none" strike="noStrike" kern="1200" baseline="0">
                    <a:solidFill>
                      <a:srgbClr val="404040"/>
                    </a:solidFill>
                    <a:latin typeface="Aptos Narrow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DataLabelsRange val="1"/>
                <c15:showLeaderLines val="1"/>
              </c:ext>
            </c:extLst>
          </c:dLbls>
          <c:cat>
            <c:numRef>
              <c:f>prijmy_vydaje!$B$1</c:f>
              <c:numCache>
                <c:formatCode>General</c:formatCode>
                <c:ptCount val="1"/>
                <c:pt idx="0">
                  <c:v>2026</c:v>
                </c:pt>
              </c:numCache>
            </c:numRef>
          </c:cat>
          <c:val>
            <c:numRef>
              <c:f>prijmy_vydaje!$J$30</c:f>
              <c:numCache>
                <c:formatCode>#\ ##0" "[$Kč];"-"#\ ##0" "[$Kč]</c:formatCode>
                <c:ptCount val="1"/>
                <c:pt idx="0">
                  <c:v>27500000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C64-4EFC-A3C6-28FB8771A2D9}"/>
            </c:ext>
            <c:ext xmlns:c15="http://schemas.microsoft.com/office/drawing/2012/chart" uri="{02D57815-91ED-43cb-92C2-25804820EDAC}">
              <c15:datalabelsRange>
                <c15:f>prijmy_vydaje!$I$30</c15:f>
                <c15:dlblRangeCache>
                  <c:ptCount val="1"/>
                  <c:pt idx="0">
                    <c:v>běžné</c:v>
                  </c:pt>
                </c15:dlblRangeCache>
              </c15:datalabelsRange>
            </c:ext>
          </c:extLst>
        </c:ser>
        <c:ser>
          <c:idx val="1"/>
          <c:order val="1"/>
          <c:spPr>
            <a:solidFill>
              <a:srgbClr val="E97132"/>
            </a:solidFill>
            <a:ln>
              <a:noFill/>
            </a:ln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7C64-4EFC-A3C6-28FB8771A2D9}"/>
              </c:ext>
            </c:extLst>
          </c:dPt>
          <c:dLbls>
            <c:dLbl>
              <c:idx val="0"/>
              <c:tx>
                <c:rich>
                  <a:bodyPr lIns="0" tIns="0" rIns="0" bIns="0"/>
                  <a:lstStyle/>
                  <a:p>
                    <a:pPr marL="0" marR="0" indent="0" algn="ctr" defTabSz="914400" fontAlgn="auto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tabLst/>
                      <a:defRPr sz="900" b="0" i="0" u="none" strike="noStrike" kern="1200" baseline="0">
                        <a:solidFill>
                          <a:srgbClr val="404040"/>
                        </a:solidFill>
                        <a:latin typeface="Aptos Narrow"/>
                      </a:defRPr>
                    </a:pPr>
                    <a:fld id="{C4A2542B-771B-41D4-8FF1-FFDD868B2AC2}" type="CELLRANGE">
                      <a:rPr lang="cs-CZ"/>
                      <a:pPr marL="0" marR="0" indent="0" algn="ctr" defTabSz="914400" fontAlgn="auto" hangingPunct="1">
                        <a:lnSpc>
                          <a:spcPct val="100000"/>
                        </a:lnSpc>
                        <a:spcBef>
                          <a:spcPts val="0"/>
                        </a:spcBef>
                        <a:spcAft>
                          <a:spcPts val="0"/>
                        </a:spcAft>
                        <a:tabLst/>
                        <a:defRPr sz="900" b="0" i="0" u="none" strike="noStrike" kern="1200" baseline="0">
                          <a:solidFill>
                            <a:srgbClr val="404040"/>
                          </a:solidFill>
                          <a:latin typeface="Aptos Narrow"/>
                        </a:defRPr>
                      </a:pPr>
                      <a:t>[OBLAST BUNĚK]</a:t>
                    </a:fld>
                    <a:r>
                      <a:rPr lang="cs-CZ" baseline="0"/>
                      <a:t>; </a:t>
                    </a:r>
                    <a:fld id="{514E23F1-2E6C-4B4B-ADFF-806BA42FDE4A}" type="VALUE">
                      <a:rPr lang="cs-CZ" baseline="0"/>
                      <a:pPr marL="0" marR="0" indent="0" algn="ctr" defTabSz="914400" fontAlgn="auto" hangingPunct="1">
                        <a:lnSpc>
                          <a:spcPct val="100000"/>
                        </a:lnSpc>
                        <a:spcBef>
                          <a:spcPts val="0"/>
                        </a:spcBef>
                        <a:spcAft>
                          <a:spcPts val="0"/>
                        </a:spcAft>
                        <a:tabLst/>
                        <a:defRPr sz="900" b="0" i="0" u="none" strike="noStrike" kern="1200" baseline="0">
                          <a:solidFill>
                            <a:srgbClr val="404040"/>
                          </a:solidFill>
                          <a:latin typeface="Aptos Narrow"/>
                        </a:defRPr>
                      </a:pPr>
                      <a:t>[HODNOTA]</a:t>
                    </a:fld>
                    <a:endParaRPr lang="cs-CZ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dlblFieldTable/>
                  <c15:xForSave val="1"/>
                  <c15:showDataLabelsRange val="1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900" b="0" i="0" u="none" strike="noStrike" kern="1200" baseline="0">
                    <a:solidFill>
                      <a:srgbClr val="404040"/>
                    </a:solidFill>
                    <a:latin typeface="Aptos Narrow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DataLabelsRange val="1"/>
                <c15:showLeaderLines val="1"/>
              </c:ext>
            </c:extLst>
          </c:dLbls>
          <c:cat>
            <c:numRef>
              <c:f>prijmy_vydaje!$B$1</c:f>
              <c:numCache>
                <c:formatCode>General</c:formatCode>
                <c:ptCount val="1"/>
                <c:pt idx="0">
                  <c:v>2026</c:v>
                </c:pt>
              </c:numCache>
            </c:numRef>
          </c:cat>
          <c:val>
            <c:numRef>
              <c:f>prijmy_vydaje!$J$31</c:f>
              <c:numCache>
                <c:formatCode>#\ ##0" "[$Kč];"-"#\ ##0" "[$Kč]</c:formatCode>
                <c:ptCount val="1"/>
                <c:pt idx="0">
                  <c:v>59500000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C64-4EFC-A3C6-28FB8771A2D9}"/>
            </c:ext>
            <c:ext xmlns:c15="http://schemas.microsoft.com/office/drawing/2012/chart" uri="{02D57815-91ED-43cb-92C2-25804820EDAC}">
              <c15:datalabelsRange>
                <c15:f>prijmy_vydaje!$I$31</c15:f>
                <c15:dlblRangeCache>
                  <c:ptCount val="1"/>
                  <c:pt idx="0">
                    <c:v>kapitálové</c:v>
                  </c:pt>
                </c15:dlblRangeCache>
              </c15:datalabelsRang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30345496"/>
        <c:axId val="330345104"/>
        <c:axId val="0"/>
      </c:bar3DChart>
      <c:valAx>
        <c:axId val="330345104"/>
        <c:scaling>
          <c:orientation val="minMax"/>
        </c:scaling>
        <c:delete val="0"/>
        <c:axPos val="l"/>
        <c:majorGridlines>
          <c:spPr>
            <a:ln w="9528" cap="flat">
              <a:solidFill>
                <a:srgbClr val="D9D9D9"/>
              </a:solidFill>
              <a:prstDash val="solid"/>
              <a:round/>
            </a:ln>
          </c:spPr>
        </c:majorGridlines>
        <c:numFmt formatCode="#\ ##0&quot; &quot;[$Kč];&quot;-&quot;#\ ##0&quot; &quot;[$Kč]" sourceLinked="1"/>
        <c:majorTickMark val="none"/>
        <c:minorTickMark val="none"/>
        <c:tickLblPos val="nextTo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595959"/>
                </a:solidFill>
                <a:latin typeface="Aptos Narrow"/>
              </a:defRPr>
            </a:pPr>
            <a:endParaRPr lang="cs-CZ"/>
          </a:p>
        </c:txPr>
        <c:crossAx val="330345496"/>
        <c:crosses val="autoZero"/>
        <c:crossBetween val="between"/>
      </c:valAx>
      <c:catAx>
        <c:axId val="330345496"/>
        <c:scaling>
          <c:orientation val="minMax"/>
        </c:scaling>
        <c:delete val="0"/>
        <c:axPos val="b"/>
        <c:majorGridlines>
          <c:spPr>
            <a:ln w="9528" cap="flat">
              <a:solidFill>
                <a:srgbClr val="D9D9D9"/>
              </a:solidFill>
              <a:prstDash val="solid"/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595959"/>
                </a:solidFill>
                <a:latin typeface="Aptos Narrow"/>
              </a:defRPr>
            </a:pPr>
            <a:endParaRPr lang="cs-CZ"/>
          </a:p>
        </c:txPr>
        <c:crossAx val="330345104"/>
        <c:crosses val="autoZero"/>
        <c:auto val="1"/>
        <c:lblAlgn val="ctr"/>
        <c:lblOffset val="100"/>
        <c:noMultiLvlLbl val="0"/>
      </c:catAx>
      <c:spPr>
        <a:noFill/>
        <a:ln>
          <a:noFill/>
        </a:ln>
      </c:spPr>
    </c:plotArea>
    <c:plotVisOnly val="1"/>
    <c:dispBlanksAs val="gap"/>
    <c:showDLblsOverMax val="0"/>
  </c:chart>
  <c:spPr>
    <a:solidFill>
      <a:srgbClr val="FFFFFF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cs-CZ" sz="1000" b="0" i="0" u="none" strike="noStrike" kern="1200" baseline="0">
          <a:solidFill>
            <a:srgbClr val="000000"/>
          </a:solidFill>
          <a:latin typeface="Aptos Narrow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72907-828B-41BE-97BE-E4AB8B2EE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960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zplacek@centrum.cz</dc:creator>
  <cp:keywords/>
  <dc:description/>
  <cp:lastModifiedBy>Lenka Brožová</cp:lastModifiedBy>
  <cp:revision>9</cp:revision>
  <cp:lastPrinted>2025-11-12T07:29:00Z</cp:lastPrinted>
  <dcterms:created xsi:type="dcterms:W3CDTF">2025-11-03T12:45:00Z</dcterms:created>
  <dcterms:modified xsi:type="dcterms:W3CDTF">2025-11-12T07:32:00Z</dcterms:modified>
</cp:coreProperties>
</file>